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rPr>
          <w:b w:val="1"/>
          <w:bCs w:val="1"/>
        </w:rPr>
        <w:t xml:space="preserve">Протокол</w:t>
      </w:r>
    </w:p>
    <w:p>
      <w:pPr>
        <w:jc w:val="center"/>
      </w:pPr>
      <w:r>
        <w:rPr>
          <w:b w:val="1"/>
          <w:bCs w:val="1"/>
        </w:rPr>
        <w:t xml:space="preserve">Подачи ценовых предложений в процедуре</w:t>
      </w:r>
    </w:p>
    <w:p>
      <w:pPr>
        <w:jc w:val="center"/>
      </w:pPr>
      <w:r>
        <w:rPr>
          <w:b w:val="1"/>
          <w:bCs w:val="1"/>
        </w:rPr>
        <w:t xml:space="preserve">32514466088</w:t>
      </w:r>
    </w:p>
    <w:tbl>
      <w:tblGrid>
        <w:gridCol w:w="10000" w:type="dxa"/>
      </w:tblGrid>
      <w:tr>
        <w:trPr/>
        <w:tc>
          <w:tcPr>
            <w:tcW w:w="10000" w:type="dxa"/>
          </w:tcPr>
          <w:p>
            <w:pPr>
              <w:jc w:val="right"/>
            </w:pPr>
            <w:r>
              <w:rPr/>
              <w:t xml:space="preserve">«03» марта 2025г.</w:t>
            </w:r>
          </w:p>
        </w:tc>
      </w:tr>
    </w:tbl>
    <w:p>
      <w:pPr/>
      <w:br/>
      <w:r>
        <w:rPr>
          <w:b w:val="1"/>
          <w:bCs w:val="1"/>
        </w:rPr>
        <w:t xml:space="preserve">Организатором является: </w:t>
      </w:r>
      <w:r>
        <w:rPr>
          <w:b w:val="0"/>
          <w:bCs w:val="0"/>
        </w:rPr>
        <w:t xml:space="preserve">Акционерное общество «Научно-исследовательский центр «Строительство»</w:t>
      </w:r>
      <w:br/>
      <w:r>
        <w:rPr>
          <w:b w:val="1"/>
          <w:bCs w:val="1"/>
        </w:rPr>
        <w:t xml:space="preserve">Заказчиком является: </w:t>
      </w:r>
      <w:r>
        <w:rPr>
          <w:b w:val="0"/>
          <w:bCs w:val="0"/>
        </w:rPr>
        <w:t xml:space="preserve">АКЦИОНЕРНОЕ ОБЩЕСТВО "НАУЧНО-ИССЛЕДОВАТЕЛЬСКИЙ ЦЕНТР "СТРОИТЕЛЬСТВО"</w:t>
      </w:r>
    </w:p>
    <w:p/>
    <w:p>
      <w:pPr/>
      <w:r>
        <w:rPr>
          <w:b w:val="1"/>
          <w:bCs w:val="1"/>
        </w:rPr>
        <w:t xml:space="preserve">Способ закупки: </w:t>
      </w:r>
    </w:p>
    <w:p>
      <w:pPr/>
      <w:r>
        <w:rPr>
          <w:b w:val="0"/>
          <w:bCs w:val="0"/>
        </w:rPr>
        <w:t xml:space="preserve">Аукцион в электронной форме</w:t>
      </w:r>
    </w:p>
    <w:p>
      <w:pPr>
        <w:keepLines w:val="1"/>
        <w:spacing w:after="96"/>
        <w:numPr>
          <w:ilvl w:val="0"/>
          <w:numId w:val="4"/>
        </w:numPr>
      </w:pPr>
      <w:r>
        <w:rPr>
          <w:b w:val="1"/>
          <w:bCs w:val="1"/>
        </w:rPr>
        <w:t xml:space="preserve">Наименование процедуры: </w:t>
      </w:r>
      <w:r>
        <w:rPr>
          <w:b w:val="0"/>
          <w:bCs w:val="0"/>
        </w:rPr>
        <w:t xml:space="preserve">Оказание услуг по специальной оценке условий труда (СОУТ) и оценке профессиональных рисков (ОПР) рабочих мест работников АО «НИЦ «Строительство»</w:t>
      </w:r>
    </w:p>
    <w:p>
      <w:pPr>
        <w:keepLines w:val="1"/>
        <w:spacing w:after="96"/>
        <w:numPr>
          <w:ilvl w:val="0"/>
          <w:numId w:val="4"/>
        </w:numPr>
      </w:pPr>
      <w:r>
        <w:rPr>
          <w:b w:val="1"/>
          <w:bCs w:val="1"/>
        </w:rPr>
        <w:t xml:space="preserve">Предмет договора лота: </w:t>
      </w:r>
      <w:r>
        <w:rPr>
          <w:b w:val="0"/>
          <w:bCs w:val="0"/>
        </w:rPr>
        <w:t xml:space="preserve">Оказание услуг по специальной оценке условий труда (СОУТ) и оценке профессиональных рисков (ОПР) рабочих мест работников АО «НИЦ «Строительство»</w:t>
      </w:r>
    </w:p>
    <w:p>
      <w:pPr>
        <w:keepLines w:val="1"/>
        <w:spacing w:after="96"/>
        <w:numPr>
          <w:ilvl w:val="0"/>
          <w:numId w:val="4"/>
        </w:numPr>
      </w:pPr>
      <w:r>
        <w:rPr>
          <w:b w:val="1"/>
          <w:bCs w:val="1"/>
        </w:rPr>
        <w:t xml:space="preserve">Начальная (максимальная) цена договора, лота: </w:t>
      </w:r>
      <w:r>
        <w:rPr>
          <w:b w:val="0"/>
          <w:bCs w:val="0"/>
        </w:rPr>
        <w:t xml:space="preserve">1 824 333.33 (Российский рубль) (с учетом НДС)</w:t>
      </w:r>
      <w:r>
        <w:rPr>
          <w:b w:val="0"/>
          <w:bCs w:val="0"/>
        </w:rPr>
        <w:t xml:space="preserve"/>
      </w:r>
    </w:p>
    <w:p>
      <w:pPr>
        <w:keepLines w:val="1"/>
        <w:spacing w:after="96"/>
        <w:numPr>
          <w:ilvl w:val="0"/>
          <w:numId w:val="4"/>
        </w:numPr>
      </w:pPr>
      <w:r>
        <w:rPr>
          <w:b w:val="1"/>
          <w:bCs w:val="1"/>
        </w:rPr>
        <w:t xml:space="preserve">Информация о дате и времени подачи предложений о цене договора:</w:t>
      </w:r>
      <w:br/>
      <w:r>
        <w:rPr>
          <w:b w:val="0"/>
          <w:bCs w:val="0"/>
        </w:rPr>
        <w:t xml:space="preserve">Дата и время начала срока подачи предложений о цене договора (МСК): 03.03.2025 09:30:00</w:t>
      </w:r>
      <w:br/>
      <w:r>
        <w:rPr>
          <w:b w:val="0"/>
          <w:bCs w:val="0"/>
        </w:rPr>
        <w:t xml:space="preserve">Дата и время окончания срока подачи предложений о цене договора (МСК): 03.03.2025 09:57:35</w:t>
      </w:r>
    </w:p>
    <w:p>
      <w:pPr>
        <w:keepLines w:val="1"/>
        <w:spacing w:after="96"/>
        <w:numPr>
          <w:ilvl w:val="0"/>
          <w:numId w:val="4"/>
        </w:numPr>
      </w:pPr>
      <w:r>
        <w:rPr>
          <w:b w:val="0"/>
          <w:bCs w:val="0"/>
        </w:rPr>
        <w:t xml:space="preserve">Извещение о проведении настоящей процедуры и документация были размещены «31» января 2025г. на сайте АО «Единая электронная торговая площадка» (АО «ЕЭТП»), по адресу в сети «Интернет»: https://corp.roseltorg.ru</w:t>
      </w:r>
    </w:p>
    <w:p>
      <w:pPr>
        <w:keepLines w:val="1"/>
        <w:spacing w:after="96"/>
        <w:numPr>
          <w:ilvl w:val="0"/>
          <w:numId w:val="4"/>
        </w:numPr>
      </w:pPr>
      <w:r>
        <w:rPr>
          <w:b w:val="0"/>
          <w:bCs w:val="0"/>
        </w:rPr>
        <w:t xml:space="preserve">Срок исполнения договора: </w:t>
      </w:r>
      <w:r>
        <w:rPr>
          <w:b w:val="0"/>
          <w:bCs w:val="0"/>
        </w:rPr>
        <w:t xml:space="preserve">-</w:t>
      </w:r>
    </w:p>
    <w:p>
      <w:pPr>
        <w:keepLines w:val="1"/>
        <w:spacing w:after="96"/>
        <w:numPr>
          <w:ilvl w:val="0"/>
          <w:numId w:val="4"/>
        </w:numPr>
      </w:pPr>
      <w:r>
        <w:rPr>
          <w:b w:val="1"/>
          <w:bCs w:val="1"/>
        </w:rPr>
        <w:t xml:space="preserve">Сведения об объеме закупаемых товаров, работ, услуг:</w:t>
      </w:r>
    </w:p>
    <w:tbl>
      <w:tblGrid>
        <w:gridCol w:w="2000" w:type="dxa"/>
        <w:gridCol w:w="1800" w:type="dxa"/>
        <w:gridCol w:w="1700" w:type="dxa"/>
        <w:gridCol w:w="1500" w:type="dxa"/>
        <w:gridCol w:w="1700" w:type="dxa"/>
        <w:gridCol w:w="1700" w:type="dxa"/>
      </w:tblGrid>
      <w:tblPr>
        <w:tblStyle w:val="style4484"/>
      </w:tblPr>
      <w:tr>
        <w:trPr>
          <w:cantSplit w:val="1"/>
        </w:trPr>
        <w:tc>
          <w:tcPr>
            <w:tcW w:w="2000" w:type="dxa"/>
          </w:tcPr>
          <w:p>
            <w:pPr>
              <w:jc w:val="center"/>
            </w:pPr>
            <w:r>
              <w:rPr>
                <w:b w:val="1"/>
                <w:bCs w:val="1"/>
              </w:rPr>
              <w:t xml:space="preserve">Наименование ТРУ</w:t>
            </w:r>
          </w:p>
        </w:tc>
        <w:tc>
          <w:tcPr>
            <w:tcW w:w="1800" w:type="dxa"/>
          </w:tcPr>
          <w:p>
            <w:pPr>
              <w:jc w:val="center"/>
            </w:pPr>
            <w:r>
              <w:rPr>
                <w:b w:val="1"/>
                <w:bCs w:val="1"/>
              </w:rPr>
              <w:t xml:space="preserve">Количество</w:t>
            </w:r>
          </w:p>
        </w:tc>
        <w:tc>
          <w:tcPr>
            <w:tcW w:w="1700" w:type="dxa"/>
          </w:tcPr>
          <w:p>
            <w:pPr>
              <w:jc w:val="center"/>
            </w:pPr>
            <w:r>
              <w:rPr>
                <w:b w:val="1"/>
                <w:bCs w:val="1"/>
              </w:rPr>
              <w:t xml:space="preserve">Единица измерения</w:t>
            </w:r>
          </w:p>
        </w:tc>
        <w:tc>
          <w:tcPr>
            <w:tcW w:w="1500" w:type="dxa"/>
          </w:tcPr>
          <w:p>
            <w:pPr>
              <w:jc w:val="center"/>
            </w:pPr>
            <w:r>
              <w:rPr>
                <w:b w:val="1"/>
                <w:bCs w:val="1"/>
              </w:rPr>
              <w:t xml:space="preserve">Цена ТРУ</w:t>
            </w:r>
          </w:p>
        </w:tc>
        <w:tc>
          <w:tcPr>
            <w:tcW w:w="1700" w:type="dxa"/>
          </w:tcPr>
          <w:p>
            <w:pPr>
              <w:jc w:val="center"/>
            </w:pPr>
            <w:r>
              <w:rPr>
                <w:b w:val="1"/>
                <w:bCs w:val="1"/>
              </w:rPr>
              <w:t xml:space="preserve">Код ОКПД2</w:t>
            </w:r>
          </w:p>
        </w:tc>
        <w:tc>
          <w:tcPr>
            <w:tcW w:w="1700" w:type="dxa"/>
          </w:tcPr>
          <w:p>
            <w:pPr>
              <w:jc w:val="center"/>
            </w:pPr>
            <w:r>
              <w:rPr>
                <w:b w:val="1"/>
                <w:bCs w:val="1"/>
              </w:rPr>
              <w:t xml:space="preserve">Код ОКВЭД2</w:t>
            </w:r>
          </w:p>
        </w:tc>
      </w:tr>
      <w:tr>
        <w:trPr>
          <w:cantSplit w:val="1"/>
        </w:trPr>
        <w:tc>
          <w:tcPr>
            <w:tcW w:w="2000" w:type="dxa"/>
          </w:tcPr>
          <w:p>
            <w:pPr>
              <w:jc w:val="center"/>
            </w:pPr>
            <w:r>
              <w:rPr/>
              <w:t xml:space="preserve">Оказание услуг по специальной оценке условий труда (СОУТ) и оценке профессиональных рисков (ОПР) рабочих мест работников АО «НИЦ «Строительство»</w:t>
            </w:r>
          </w:p>
        </w:tc>
        <w:tc>
          <w:tcPr>
            <w:tcW w:w="1800" w:type="dxa"/>
          </w:tcPr>
          <w:p>
            <w:pPr>
              <w:jc w:val="center"/>
            </w:pPr>
            <w:r>
              <w:rPr/>
              <w:t xml:space="preserve">1300</w:t>
            </w:r>
          </w:p>
        </w:tc>
        <w:tc>
          <w:tcPr>
            <w:tcW w:w="1700" w:type="dxa"/>
          </w:tcPr>
          <w:p>
            <w:pPr>
              <w:jc w:val="center"/>
            </w:pPr>
            <w:r>
              <w:rPr/>
              <w:t xml:space="preserve">Рабочее место</w:t>
            </w:r>
          </w:p>
        </w:tc>
        <w:tc>
          <w:tcPr>
            <w:tcW w:w="1500" w:type="dxa"/>
          </w:tcPr>
          <w:p>
            <w:pPr>
              <w:jc w:val="center"/>
            </w:pPr>
            <w:r>
              <w:rPr/>
              <w:t xml:space="preserve"/>
            </w:r>
          </w:p>
        </w:tc>
        <w:tc>
          <w:tcPr>
            <w:tcW w:w="1700" w:type="dxa"/>
          </w:tcPr>
          <w:p>
            <w:pPr>
              <w:jc w:val="center"/>
            </w:pPr>
            <w:r>
              <w:rPr/>
              <w:t xml:space="preserve">71.20.19.130</w:t>
            </w:r>
          </w:p>
        </w:tc>
        <w:tc>
          <w:tcPr>
            <w:tcW w:w="1700" w:type="dxa"/>
          </w:tcPr>
          <w:p>
            <w:pPr>
              <w:jc w:val="center"/>
            </w:pPr>
            <w:r>
              <w:rPr/>
              <w:t xml:space="preserve">71.20.7</w:t>
            </w:r>
          </w:p>
        </w:tc>
      </w:tr>
    </w:tbl>
    <w:p>
      <w:pPr>
        <w:keepLines w:val="1"/>
        <w:spacing w:after="96"/>
        <w:numPr>
          <w:ilvl w:val="0"/>
          <w:numId w:val="4"/>
        </w:numPr>
      </w:pPr>
      <w:r>
        <w:rPr>
          <w:b w:val="0"/>
          <w:bCs w:val="0"/>
        </w:rPr>
        <w:t xml:space="preserve">Ценовые предложения в таблице выводятся в порядке возрастания номера заявки Участника. Победитель определяется Заказчиком в соответствии с требованиями документации о закупке и поданными ценовыми предложениями в рамках итогового протокола.</w:t>
      </w:r>
    </w:p>
    <w:p/>
    <w:tbl>
      <w:tblGrid>
        <w:gridCol w:w="500" w:type="dxa"/>
        <w:gridCol w:w="1100" w:type="dxa"/>
        <w:gridCol w:w="1100" w:type="dxa"/>
        <w:gridCol w:w="1050" w:type="dxa"/>
        <w:gridCol w:w="1050" w:type="dxa"/>
        <w:gridCol w:w="1050" w:type="dxa"/>
        <w:gridCol w:w="1050" w:type="dxa"/>
        <w:gridCol w:w="900" w:type="dxa"/>
        <w:gridCol w:w="1100" w:type="dxa"/>
        <w:gridCol w:w="1000" w:type="dxa"/>
        <w:gridCol w:w="1000" w:type="dxa"/>
      </w:tblGrid>
      <w:tblPr>
        <w:tblStyle w:val="style23291"/>
      </w:tblPr>
      <w:tr>
        <w:trPr/>
        <w:tc>
          <w:tcPr>
            <w:tcW w:w="500" w:type="dxa"/>
          </w:tcPr>
          <w:p>
            <w:pPr>
              <w:jc w:val="center"/>
            </w:pPr>
            <w:r>
              <w:rPr>
                <w:b w:val="0"/>
                <w:bCs w:val="0"/>
              </w:rPr>
              <w:t xml:space="preserve">№</w:t>
            </w:r>
          </w:p>
        </w:tc>
        <w:tc>
          <w:tcPr>
            <w:tcW w:w="1100" w:type="dxa"/>
          </w:tcPr>
          <w:p>
            <w:pPr>
              <w:jc w:val="center"/>
            </w:pPr>
            <w:r>
              <w:rPr>
                <w:b w:val="0"/>
                <w:bCs w:val="0"/>
              </w:rPr>
              <w:t xml:space="preserve">Наименование участника</w:t>
            </w:r>
          </w:p>
        </w:tc>
        <w:tc>
          <w:tcPr>
            <w:tcW w:w="1100" w:type="dxa"/>
          </w:tcPr>
          <w:p>
            <w:pPr>
              <w:jc w:val="center"/>
            </w:pPr>
            <w:r>
              <w:rPr>
                <w:b w:val="1"/>
                <w:bCs w:val="1"/>
              </w:rPr>
              <w:t xml:space="preserve">Дата и время регистрации заявки (МСК)</w:t>
            </w:r>
          </w:p>
        </w:tc>
        <w:tc>
          <w:tcPr>
            <w:tcW w:w="1050" w:type="dxa"/>
          </w:tcPr>
          <w:p>
            <w:pPr>
              <w:jc w:val="center"/>
            </w:pPr>
            <w:r>
              <w:rPr>
                <w:b w:val="1"/>
                <w:bCs w:val="1"/>
              </w:rPr>
              <w:t xml:space="preserve">Ценовое предложение вне шага с НДС</w:t>
            </w:r>
          </w:p>
        </w:tc>
        <w:tc>
          <w:tcPr>
            <w:tcW w:w="1050" w:type="dxa"/>
          </w:tcPr>
          <w:p>
            <w:pPr>
              <w:jc w:val="center"/>
            </w:pPr>
            <w:r>
              <w:rPr>
                <w:b w:val="1"/>
                <w:bCs w:val="1"/>
              </w:rPr>
              <w:t xml:space="preserve">Ценовое предложение вне шага без НДС</w:t>
            </w:r>
          </w:p>
        </w:tc>
        <w:tc>
          <w:tcPr>
            <w:tcW w:w="1050" w:type="dxa"/>
          </w:tcPr>
          <w:p>
            <w:pPr>
              <w:jc w:val="center"/>
            </w:pPr>
            <w:r>
              <w:rPr>
                <w:b w:val="1"/>
                <w:bCs w:val="1"/>
              </w:rPr>
              <w:t xml:space="preserve">Ценовое предложение с НДС</w:t>
            </w:r>
          </w:p>
        </w:tc>
        <w:tc>
          <w:tcPr>
            <w:tcW w:w="1050" w:type="dxa"/>
          </w:tcPr>
          <w:p>
            <w:pPr>
              <w:jc w:val="center"/>
            </w:pPr>
            <w:r>
              <w:rPr>
                <w:b w:val="1"/>
                <w:bCs w:val="1"/>
              </w:rPr>
              <w:t xml:space="preserve">Ценовое предложение без НДС</w:t>
            </w:r>
          </w:p>
        </w:tc>
        <w:tc>
          <w:tcPr>
            <w:tcW w:w="900" w:type="dxa"/>
          </w:tcPr>
          <w:p>
            <w:pPr>
              <w:jc w:val="center"/>
            </w:pPr>
            <w:r>
              <w:rPr>
                <w:b w:val="1"/>
                <w:bCs w:val="1"/>
              </w:rPr>
              <w:t xml:space="preserve">Ставка НДС,%</w:t>
            </w:r>
          </w:p>
        </w:tc>
        <w:tc>
          <w:tcPr>
            <w:tcW w:w="1100" w:type="dxa"/>
          </w:tcPr>
          <w:p>
            <w:pPr>
              <w:jc w:val="center"/>
            </w:pPr>
            <w:r>
              <w:rPr>
                <w:b w:val="1"/>
                <w:bCs w:val="1"/>
              </w:rPr>
              <w:t xml:space="preserve">Дата и время подачи ценовых предложений (МСК)</w:t>
            </w:r>
          </w:p>
        </w:tc>
        <w:tc>
          <w:tcPr>
            <w:tcW w:w="1000" w:type="dxa"/>
          </w:tcPr>
          <w:p>
            <w:pPr>
              <w:jc w:val="center"/>
            </w:pPr>
            <w:r>
              <w:rPr>
                <w:b w:val="1"/>
                <w:bCs w:val="1"/>
              </w:rPr>
              <w:t xml:space="preserve">Дата и время подачи ЦП вне шага</w:t>
            </w:r>
          </w:p>
        </w:tc>
        <w:tc>
          <w:tcPr>
            <w:tcW w:w="1000" w:type="dxa"/>
          </w:tcPr>
          <w:p>
            <w:pPr>
              <w:jc w:val="center"/>
            </w:pPr>
            <w:r>
              <w:rPr>
                <w:b w:val="1"/>
                <w:bCs w:val="1"/>
              </w:rPr>
              <w:t xml:space="preserve">Место, присвоенное заявке</w:t>
            </w:r>
          </w:p>
        </w:tc>
      </w:tr>
      <w:tr>
        <w:trPr/>
        <w:tc>
          <w:tcPr>
            <w:tcW w:w="500" w:type="dxa"/>
          </w:tcPr>
          <w:p>
            <w:pPr>
              <w:jc w:val="center"/>
            </w:pPr>
            <w:r>
              <w:rPr/>
              <w:t xml:space="preserve">3405080721</w:t>
            </w:r>
          </w:p>
        </w:tc>
        <w:tc>
          <w:tcPr>
            <w:tcW w:w="1100" w:type="dxa"/>
          </w:tcPr>
          <w:p>
            <w:pPr>
              <w:jc w:val="center"/>
            </w:pPr>
            <w:r>
              <w:rPr/>
              <w:t xml:space="preserve">Участник №3405080721</w:t>
            </w:r>
          </w:p>
        </w:tc>
        <w:tc>
          <w:tcPr>
            <w:tcW w:w="1100" w:type="dxa"/>
          </w:tcPr>
          <w:p>
            <w:pPr>
              <w:jc w:val="center"/>
            </w:pPr>
            <w:r>
              <w:rPr/>
              <w:t xml:space="preserve">18.02.2025 08:50:55</w:t>
            </w:r>
          </w:p>
        </w:tc>
        <w:tc>
          <w:tcPr>
            <w:tcW w:w="1050" w:type="dxa"/>
          </w:tcPr>
          <w:p>
            <w:pPr>
              <w:jc w:val="center"/>
            </w:pPr>
            <w:r>
              <w:rPr/>
              <w:t xml:space="preserve">-</w:t>
            </w:r>
          </w:p>
        </w:tc>
        <w:tc>
          <w:tcPr>
            <w:tcW w:w="1050" w:type="dxa"/>
          </w:tcPr>
          <w:p>
            <w:pPr>
              <w:jc w:val="center"/>
            </w:pPr>
            <w:r>
              <w:rPr/>
              <w:t xml:space="preserve">-</w:t>
            </w:r>
          </w:p>
        </w:tc>
        <w:tc>
          <w:tcPr>
            <w:tcW w:w="1050" w:type="dxa"/>
          </w:tcPr>
          <w:p>
            <w:pPr>
              <w:jc w:val="center"/>
            </w:pPr>
            <w:r>
              <w:rPr/>
              <w:t xml:space="preserve">1 058 113.29</w:t>
            </w:r>
          </w:p>
        </w:tc>
        <w:tc>
          <w:tcPr>
            <w:tcW w:w="1050" w:type="dxa"/>
          </w:tcPr>
          <w:p>
            <w:pPr>
              <w:jc w:val="center"/>
            </w:pPr>
            <w:r>
              <w:rPr/>
              <w:t xml:space="preserve">1 007 726.94</w:t>
            </w:r>
          </w:p>
        </w:tc>
        <w:tc>
          <w:tcPr>
            <w:tcW w:w="900" w:type="dxa"/>
          </w:tcPr>
          <w:p>
            <w:pPr>
              <w:jc w:val="center"/>
            </w:pPr>
            <w:r>
              <w:rPr/>
              <w:t xml:space="preserve">5%</w:t>
            </w:r>
          </w:p>
        </w:tc>
        <w:tc>
          <w:tcPr>
            <w:tcW w:w="1100" w:type="dxa"/>
          </w:tcPr>
          <w:p>
            <w:pPr>
              <w:jc w:val="center"/>
            </w:pPr>
            <w:r>
              <w:rPr/>
              <w:t xml:space="preserve">03.03.2025 09:47:35</w:t>
            </w:r>
          </w:p>
        </w:tc>
        <w:tc>
          <w:tcPr>
            <w:tcW w:w="1000" w:type="dxa"/>
          </w:tcPr>
          <w:p>
            <w:pPr>
              <w:jc w:val="center"/>
            </w:pPr>
            <w:r>
              <w:rPr/>
              <w:t xml:space="preserve">-</w:t>
            </w:r>
          </w:p>
        </w:tc>
        <w:tc>
          <w:tcPr>
            <w:tcW w:w="1000" w:type="dxa"/>
          </w:tcPr>
          <w:p>
            <w:pPr>
              <w:jc w:val="center"/>
            </w:pPr>
            <w:r>
              <w:rPr/>
              <w:t xml:space="preserve"/>
            </w:r>
          </w:p>
        </w:tc>
      </w:tr>
      <w:tr>
        <w:trPr/>
        <w:tc>
          <w:tcPr>
            <w:tcW w:w="500" w:type="dxa"/>
          </w:tcPr>
          <w:p>
            <w:pPr>
              <w:jc w:val="center"/>
            </w:pPr>
            <w:r>
              <w:rPr/>
              <w:t xml:space="preserve">1951323896</w:t>
            </w:r>
          </w:p>
        </w:tc>
        <w:tc>
          <w:tcPr>
            <w:tcW w:w="1100" w:type="dxa"/>
          </w:tcPr>
          <w:p>
            <w:pPr>
              <w:jc w:val="center"/>
            </w:pPr>
            <w:r>
              <w:rPr/>
              <w:t xml:space="preserve">Участник №1951323896</w:t>
            </w:r>
          </w:p>
        </w:tc>
        <w:tc>
          <w:tcPr>
            <w:tcW w:w="1100" w:type="dxa"/>
          </w:tcPr>
          <w:p>
            <w:pPr>
              <w:jc w:val="center"/>
            </w:pPr>
            <w:r>
              <w:rPr/>
              <w:t xml:space="preserve">10.02.2025 22:38:08</w:t>
            </w:r>
          </w:p>
        </w:tc>
        <w:tc>
          <w:tcPr>
            <w:tcW w:w="1050" w:type="dxa"/>
          </w:tcPr>
          <w:p>
            <w:pPr>
              <w:jc w:val="center"/>
            </w:pPr>
            <w:r>
              <w:rPr/>
              <w:t xml:space="preserve">-</w:t>
            </w:r>
          </w:p>
        </w:tc>
        <w:tc>
          <w:tcPr>
            <w:tcW w:w="1050" w:type="dxa"/>
          </w:tcPr>
          <w:p>
            <w:pPr>
              <w:jc w:val="center"/>
            </w:pPr>
            <w:r>
              <w:rPr/>
              <w:t xml:space="preserve">-</w:t>
            </w:r>
          </w:p>
        </w:tc>
        <w:tc>
          <w:tcPr>
            <w:tcW w:w="1050" w:type="dxa"/>
          </w:tcPr>
          <w:p>
            <w:pPr>
              <w:jc w:val="center"/>
            </w:pPr>
            <w:r>
              <w:rPr/>
              <w:t xml:space="preserve">1 067 234.96</w:t>
            </w:r>
          </w:p>
        </w:tc>
        <w:tc>
          <w:tcPr>
            <w:tcW w:w="1050" w:type="dxa"/>
          </w:tcPr>
          <w:p>
            <w:pPr>
              <w:jc w:val="center"/>
            </w:pPr>
            <w:r>
              <w:rPr/>
              <w:t xml:space="preserve">1 016 414.25</w:t>
            </w:r>
          </w:p>
        </w:tc>
        <w:tc>
          <w:tcPr>
            <w:tcW w:w="900" w:type="dxa"/>
          </w:tcPr>
          <w:p>
            <w:pPr>
              <w:jc w:val="center"/>
            </w:pPr>
            <w:r>
              <w:rPr/>
              <w:t xml:space="preserve">5%</w:t>
            </w:r>
          </w:p>
        </w:tc>
        <w:tc>
          <w:tcPr>
            <w:tcW w:w="1100" w:type="dxa"/>
          </w:tcPr>
          <w:p>
            <w:pPr>
              <w:jc w:val="center"/>
            </w:pPr>
            <w:r>
              <w:rPr/>
              <w:t xml:space="preserve">03.03.2025 09:47:29</w:t>
            </w:r>
          </w:p>
        </w:tc>
        <w:tc>
          <w:tcPr>
            <w:tcW w:w="1000" w:type="dxa"/>
          </w:tcPr>
          <w:p>
            <w:pPr>
              <w:jc w:val="center"/>
            </w:pPr>
            <w:r>
              <w:rPr/>
              <w:t xml:space="preserve">-</w:t>
            </w:r>
          </w:p>
        </w:tc>
        <w:tc>
          <w:tcPr>
            <w:tcW w:w="1000" w:type="dxa"/>
          </w:tcPr>
          <w:p>
            <w:pPr>
              <w:jc w:val="center"/>
            </w:pPr>
            <w:r>
              <w:rPr/>
              <w:t xml:space="preserve"/>
            </w:r>
          </w:p>
        </w:tc>
      </w:tr>
    </w:tbl>
    <w:p>
      <w:pPr>
        <w:keepLines w:val="1"/>
        <w:spacing w:after="96"/>
        <w:numPr>
          <w:ilvl w:val="0"/>
          <w:numId w:val="4"/>
        </w:numPr>
      </w:pPr>
      <w:r>
        <w:rPr>
          <w:b w:val="0"/>
          <w:bCs w:val="0"/>
        </w:rPr>
        <w:t xml:space="preserve">В силу регламентированного порядка интеграционного взаимодействия между Оператором электронной торговой площадки и ЕИС, Оператор направляет в структурированном виде в ЕИС значение ценового предложения, признак НДС которого совпадает с признаком поля «Базис сравнения» извещения процедуры.</w:t>
      </w:r>
    </w:p>
    <w:p>
      <w:pPr>
        <w:keepLines w:val="1"/>
        <w:spacing w:after="96"/>
        <w:numPr>
          <w:ilvl w:val="0"/>
          <w:numId w:val="4"/>
        </w:numPr>
      </w:pPr>
      <w:r>
        <w:rPr/>
        <w:t xml:space="preserve">Протокол подачи ценовых предложений будет размещен на сайте Единой информационной системы в сфере закупок (ЕИС) по адресу в сети «Интернет»: http://zakupki.gov.ru и на сайте АО «Единая электронная торговая площадка» (АО «ЕЭТП») по адресу в сети «Интернет»: </w:t>
      </w:r>
      <w:hyperlink r:id="rId7" w:history="1">
        <w:r>
          <w:t xml:space="preserve">https://corp.roseltorg.ru</w:t>
        </w:r>
      </w:hyperlink>
      <w:r>
        <w:rPr/>
        <w:t xml:space="preserve"> в сроки, предусмотренные №223-ФЗ и действующим Положением о закупках.</w:t>
      </w:r>
    </w:p>
    <w:sectPr>
      <w:pgSz w:orient="portrait" w:w="11905.511811023622" w:h="16837.79527559055"/>
      <w:pgMar w:top="1440" w:right="566.9291338582676" w:bottom="1440" w:left="1417.3228346456694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3">
    <w:nsid w:val="E81D06D2"/>
    <w:multiLevelType w:val="hybridMultilevel"/>
    <w:lvl w:ilvl="0">
      <w:start w:val="1"/>
      <w:numFmt w:val="bullet"/>
      <w:suff w:val="tab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suff w:val="tab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suff w:val="tab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suff w:val="tab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suff w:val="tab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suff w:val="tab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suff w:val="tab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suff w:val="tab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suff w:val="tab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4">
    <w:nsid w:val="369C8A29"/>
    <w:multiLevelType w:val="multilevel"/>
    <w:lvl w:ilvl="0">
      <w:start w:val="1"/>
      <w:numFmt w:val="decimal"/>
      <w:suff w:val="tab"/>
      <w:lvlText w:val="%1."/>
      <w:lvlJc w:val="left"/>
      <w:pPr>
        <w:tabs>
          <w:tab w:val="num" w:pos="360"/>
        </w:tabs>
        <w:ind w:left="360" w:hanging="360"/>
      </w:pPr>
      <w:rPr>
        <w:rFonts w:ascii="" w:hAnsi="" w:cs=""/>
      </w:rPr>
    </w:lvl>
    <w:lvl w:ilvl="1">
      <w:start w:val="1"/>
      <w:numFmt w:val="decimal"/>
      <w:suff w:val="tab"/>
      <w:lvlText w:val="%1.%2."/>
      <w:lvlJc w:val="left"/>
      <w:pPr>
        <w:tabs>
          <w:tab w:val="num" w:pos="792"/>
        </w:tabs>
        <w:ind w:left="792" w:hanging="432"/>
      </w:pPr>
      <w:rPr>
        <w:rFonts w:ascii="" w:hAnsi="" w:cs=""/>
      </w:rPr>
    </w:lvl>
    <w:lvl w:ilvl="2">
      <w:start w:val="1"/>
      <w:numFmt w:val="decimal"/>
      <w:suff w:val="tab"/>
      <w:lvlText w:val="%1.%2.%3."/>
      <w:lvlJc w:val="left"/>
      <w:pPr>
        <w:tabs>
          <w:tab w:val="num" w:pos="1224"/>
        </w:tabs>
        <w:ind w:left="1224" w:hanging="504"/>
      </w:pPr>
      <w:rPr>
        <w:rFonts w:ascii="" w:hAnsi="" w:cs=""/>
      </w:rPr>
    </w:lvl>
    <w:lvl w:ilvl="3">
      <w:start w:val="1"/>
      <w:numFmt w:val="decimal"/>
      <w:suff w:val="tab"/>
      <w:lvlText w:val="%1.%2.%3.%4."/>
      <w:lvlJc w:val="left"/>
      <w:pPr>
        <w:tabs>
          <w:tab w:val="num" w:pos="1800"/>
        </w:tabs>
        <w:ind w:left="1728" w:hanging="648"/>
      </w:pPr>
      <w:rPr>
        <w:rFonts w:ascii="" w:hAnsi="" w:cs=""/>
      </w:rPr>
    </w:lvl>
    <w:lvl w:ilvl="4">
      <w:start w:val="1"/>
      <w:numFmt w:val="decimal"/>
      <w:suff w:val="tab"/>
      <w:lvlText w:val="%1.%2.%3.%4.%5."/>
      <w:lvlJc w:val="left"/>
      <w:pPr>
        <w:tabs>
          <w:tab w:val="num" w:pos="2520"/>
        </w:tabs>
        <w:ind w:left="2232" w:hanging="792"/>
      </w:pPr>
      <w:rPr>
        <w:rFonts w:ascii="" w:hAnsi="" w:cs=""/>
      </w:rPr>
    </w:lvl>
    <w:lvl w:ilvl="5">
      <w:start w:val="1"/>
      <w:numFmt w:val="decimal"/>
      <w:suff w:val="tab"/>
      <w:lvlText w:val="%1.%2.%3.%4.%5.%6."/>
      <w:lvlJc w:val="left"/>
      <w:pPr>
        <w:tabs>
          <w:tab w:val="num" w:pos="2880"/>
        </w:tabs>
        <w:ind w:left="2736" w:hanging="936"/>
      </w:pPr>
      <w:rPr>
        <w:rFonts w:ascii="" w:hAnsi="" w:cs=""/>
      </w:rPr>
    </w:lvl>
    <w:lvl w:ilvl="6">
      <w:start w:val="1"/>
      <w:numFmt w:val="decimal"/>
      <w:suff w:val="tab"/>
      <w:lvlText w:val="%1.%2.%3.%4.%5.%6.%7."/>
      <w:lvlJc w:val="left"/>
      <w:pPr>
        <w:tabs>
          <w:tab w:val="num" w:pos="3600"/>
        </w:tabs>
        <w:ind w:left="3240" w:hanging="1080"/>
      </w:pPr>
      <w:rPr>
        <w:rFonts w:ascii="" w:hAnsi="" w:cs=""/>
      </w:rPr>
    </w:lvl>
    <w:lvl w:ilvl="7">
      <w:start w:val="1"/>
      <w:numFmt w:val="decimal"/>
      <w:suff w:val="tab"/>
      <w:lvlText w:val="%1.%2.%3.%4.%5.%6.%7.%8."/>
      <w:lvlJc w:val="left"/>
      <w:pPr>
        <w:tabs>
          <w:tab w:val="num" w:pos="3960"/>
        </w:tabs>
        <w:ind w:left="3744" w:hanging="1224"/>
      </w:pPr>
      <w:rPr>
        <w:rFonts w:ascii="" w:hAnsi="" w:cs=""/>
      </w:rPr>
    </w:lvl>
    <w:lvl w:ilvl="8">
      <w:start w:val="1"/>
      <w:numFmt w:val="decimal"/>
      <w:suff w:val="tab"/>
      <w:lvlText w:val="%1.%2.%3.%4.%5.%6.%7.%8.%9."/>
      <w:lvlJc w:val="left"/>
      <w:pPr>
        <w:tabs>
          <w:tab w:val="num" w:pos="4680"/>
        </w:tabs>
        <w:ind w:left="4320" w:hanging="1440"/>
      </w:pPr>
      <w:rPr>
        <w:rFonts w:ascii="" w:hAnsi="" w:cs=""/>
      </w:rPr>
    </w:lvl>
  </w:abstractNum>
  <w:num w:numId="3">
    <w:abstractNumId w:val="3"/>
  </w:num>
  <w:num w:numId="4">
    <w:abstractNumId w:val="4"/>
  </w:num>
</w:numbering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themeFontLang w:val="ru-ru" w:eastAsia="x-none" w:bidi="x-none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hAnsi="Times New Roman" w:eastAsia="Times New Roman" w:cs="Times New Roman"/>
        <w:sz w:val="24"/>
        <w:szCs w:val="24"/>
        <w:lang w:val="ru-ru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myOwnStyle"/>
    <w:rPr>
      <w:b w:val="1"/>
      <w:bCs w:val="1"/>
    </w:rPr>
  </w:style>
  <w:style w:type="paragraph" w:customStyle="1" w:styleId="P-Style">
    <w:name w:val="P-Style"/>
    <w:basedOn w:val="Normal"/>
    <w:pPr>
      <w:keepLines w:val="1"/>
      <w:spacing w:after="96"/>
    </w:pPr>
  </w:style>
  <w:style w:type="table" w:customStyle="1" w:styleId="style4484">
    <w:name w:val="style4484"/>
    <w:uiPriority w:val="99"/>
    <w:tblPr>
      <w:tblW w:w="0" w:type="auto"/>
      <w:tblLayout w:type="autofit"/>
      <w:bidiVisual w:val="0"/>
      <w:tblBorders>
        <w:top w:val="single" w:sz="1" w:color="000000"/>
        <w:left w:val="single" w:sz="1" w:color="000000"/>
        <w:right w:val="single" w:sz="1" w:color="000000"/>
        <w:bottom w:val="single" w:sz="1" w:color="000000"/>
        <w:insideH w:val="single" w:sz="1" w:color="000000"/>
        <w:insideV w:val="single" w:sz="1" w:color="000000"/>
      </w:tblBorders>
    </w:tblPr>
  </w:style>
  <w:style w:type="table" w:customStyle="1" w:styleId="style23291">
    <w:name w:val="style23291"/>
    <w:uiPriority w:val="99"/>
    <w:tblPr>
      <w:tblW w:w="0" w:type="auto"/>
      <w:tblLayout w:type="autofit"/>
      <w:bidiVisual w:val="0"/>
      <w:tblBorders>
        <w:top w:val="single" w:sz="1" w:color="000000"/>
        <w:left w:val="single" w:sz="1" w:color="000000"/>
        <w:right w:val="single" w:sz="1" w:color="000000"/>
        <w:bottom w:val="single" w:sz="1" w:color="000000"/>
        <w:insideH w:val="single" w:sz="1" w:color="000000"/>
        <w:insideV w:val="single" w:sz="1" w:color="000000"/>
      </w:tblBorders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hyperlink" Target="https://corp.roseltorg.ru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2025-03-03T09:57:39+03:00</dcterms:created>
  <dcterms:modified xsi:type="dcterms:W3CDTF">2025-03-03T09:57:39+03:00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