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230"/>
        <w:gridCol w:w="2693"/>
      </w:tblGrid>
      <w:tr>
        <w:trPr>
          <w:trHeight w:val="1245" w:hRule="atLeast"/>
        </w:trPr>
        <w:tc>
          <w:tcPr>
            <w:tcW w:w="7230" w:type="dxa"/>
            <w:tcBorders/>
          </w:tcPr>
          <w:p>
            <w:pPr>
              <w:pStyle w:val="Normal"/>
              <w:snapToGrid w:val="false"/>
              <w:spacing w:lineRule="atLeast" w:line="23" w:before="0" w:after="0"/>
              <w:contextualSpacing/>
              <w:rPr>
                <w:rFonts w:ascii="PF Din Text Cond Pro Light" w:hAnsi="PF Din Text Cond Pro Light" w:cs="PF Din Text Cond Pro Light"/>
                <w:lang w:val="en-US" w:eastAsia="en-US"/>
              </w:rPr>
            </w:pPr>
            <w:r>
              <w:rPr>
                <w:rFonts w:cs="PF Din Text Cond Pro Light" w:ascii="PF Din Text Cond Pro Light" w:hAnsi="PF Din Text Cond Pro Light"/>
                <w:lang w:val="en-US" w:eastAsia="en-US"/>
              </w:rPr>
              <w:drawing>
                <wp:anchor behindDoc="1" distT="0" distB="0" distL="114935" distR="114935" simplePos="0" locked="0" layoutInCell="1" allowOverlap="1" relativeHeight="2">
                  <wp:simplePos x="0" y="0"/>
                  <wp:positionH relativeFrom="column">
                    <wp:posOffset>-59690</wp:posOffset>
                  </wp:positionH>
                  <wp:positionV relativeFrom="paragraph">
                    <wp:posOffset>6985</wp:posOffset>
                  </wp:positionV>
                  <wp:extent cx="1677670" cy="74549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7670" cy="745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lineRule="atLeast" w:line="23" w:before="0" w:after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</w:rPr>
            </w:r>
          </w:p>
          <w:p>
            <w:pPr>
              <w:pStyle w:val="Normal"/>
              <w:spacing w:lineRule="atLeast" w:line="23" w:before="0" w:after="0"/>
              <w:ind w:start="-105" w:end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</w:rPr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tLeast" w:line="23" w:before="0" w:after="0"/>
              <w:ind w:hanging="5529" w:start="5529" w:end="0"/>
              <w:contextualSpacing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Публичное акционерное общество</w:t>
            </w:r>
          </w:p>
          <w:p>
            <w:pPr>
              <w:pStyle w:val="Normal"/>
              <w:spacing w:lineRule="atLeast" w:line="23" w:before="0" w:after="0"/>
              <w:ind w:hanging="0" w:end="0"/>
              <w:contextualSpacing/>
              <w:rPr/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«Россети Центр»</w:t>
            </w:r>
          </w:p>
          <w:p>
            <w:pPr>
              <w:pStyle w:val="Normal"/>
              <w:spacing w:lineRule="atLeast" w:line="23" w:before="0" w:after="0"/>
              <w:ind w:hanging="0" w:end="0"/>
              <w:contextualSpacing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</w:r>
          </w:p>
          <w:p>
            <w:pPr>
              <w:pStyle w:val="Normal"/>
              <w:spacing w:lineRule="atLeast" w:line="23" w:before="0" w:after="0"/>
              <w:ind w:hanging="0" w:end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Филиал ПАО «Россети Центр» - «Тверьэнерго»</w:t>
            </w:r>
          </w:p>
        </w:tc>
      </w:tr>
      <w:tr>
        <w:trPr/>
        <w:tc>
          <w:tcPr>
            <w:tcW w:w="9923" w:type="dxa"/>
            <w:gridSpan w:val="2"/>
            <w:tcBorders/>
          </w:tcPr>
          <w:p>
            <w:pPr>
              <w:pStyle w:val="Normal"/>
              <w:spacing w:before="0" w:after="0"/>
              <w:contextualSpacing/>
              <w:jc w:val="center"/>
              <w:rPr>
                <w:rFonts w:ascii="PF Din Text Cond Pro" w:hAnsi="PF Din Text Cond Pro" w:eastAsia="Cambria" w:cs="Helios-Regular;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eastAsia="Cambria" w:cs="Helios-Regular;Times New Roman" w:ascii="PF Din Text Cond Pro" w:hAnsi="PF Din Text Cond Pro"/>
                <w:color w:val="000000"/>
                <w:sz w:val="24"/>
                <w:szCs w:val="24"/>
                <w:lang w:eastAsia="en-US"/>
              </w:rPr>
              <w:t>ПРОТОКОЛ</w:t>
            </w:r>
          </w:p>
          <w:p>
            <w:pPr>
              <w:pStyle w:val="Style35"/>
              <w:spacing w:lineRule="auto" w:line="240"/>
              <w:jc w:val="center"/>
              <w:rPr/>
            </w:pPr>
            <w:r>
              <w:rPr>
                <w:rFonts w:cs="Helios-Regular;Times New Roman" w:ascii="PF Din Text Cond Pro" w:hAnsi="PF Din Text Cond Pro"/>
              </w:rPr>
              <w:t>Очно-заочного заседания Закупочной комиссии по рассмотрению и оценке технических предложений заявок участников</w:t>
            </w:r>
          </w:p>
          <w:p>
            <w:pPr>
              <w:pStyle w:val="Style35"/>
              <w:rPr>
                <w:rFonts w:ascii="PF Din Text Cond Pro" w:hAnsi="PF Din Text Cond Pro" w:cs="Helios-Regular;Times New Roman"/>
              </w:rPr>
            </w:pPr>
            <w:r>
              <w:rPr>
                <w:rFonts w:cs="Helios-Regular;Times New Roman" w:ascii="PF Din Text Cond Pro" w:hAnsi="PF Din Text Cond Pro"/>
              </w:rPr>
            </w:r>
          </w:p>
          <w:tbl>
            <w:tblPr>
              <w:tblW w:w="9815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704"/>
              <w:gridCol w:w="4111"/>
            </w:tblGrid>
            <w:tr>
              <w:trPr/>
              <w:tc>
                <w:tcPr>
                  <w:tcW w:w="5704" w:type="dxa"/>
                  <w:tcBorders/>
                </w:tcPr>
                <w:p>
                  <w:pPr>
                    <w:pStyle w:val="Style35"/>
                    <w:rPr>
                      <w:rFonts w:ascii="Calibri" w:hAnsi="Calibri" w:cs="Helios-Regular;Times New Roman"/>
                      <w:color w:val="000000"/>
                    </w:rPr>
                  </w:pPr>
                  <w:r>
                    <w:rPr>
                      <w:rFonts w:cs="Helios-Regular;Times New Roman" w:ascii="PF Din Text Cond Pro" w:hAnsi="PF Din Text Cond Pro"/>
                      <w:color w:val="000000"/>
                    </w:rPr>
                    <w:t>Дата проведения заседания: 15.12.2025</w:t>
                  </w:r>
                </w:p>
                <w:p>
                  <w:pPr>
                    <w:pStyle w:val="Style35"/>
                    <w:spacing w:lineRule="auto" w:line="240"/>
                    <w:rPr>
                      <w:rFonts w:ascii="Calibri" w:hAnsi="Calibri" w:cs="Helios-Regular;Times New Roman"/>
                    </w:rPr>
                  </w:pPr>
                  <w:r>
                    <w:rPr>
                      <w:rFonts w:cs="Helios-Regular;Times New Roman" w:ascii="PF Din Text Cond Pro" w:hAnsi="PF Din Text Cond Pro"/>
                    </w:rPr>
                    <w:t xml:space="preserve">Дата подписания протокола: </w:t>
                  </w:r>
                  <w:r>
                    <w:rPr>
                      <w:rFonts w:cs="Helios-Regular;Times New Roman" w:ascii="PF Din Text Cond Pro" w:hAnsi="PF Din Text Cond Pro"/>
                      <w:color w:val="000000"/>
                    </w:rPr>
                    <w:t>15.12.2025</w:t>
                  </w:r>
                </w:p>
              </w:tc>
              <w:tc>
                <w:tcPr>
                  <w:tcW w:w="4111" w:type="dxa"/>
                  <w:tcBorders/>
                  <w:vAlign w:val="bottom"/>
                </w:tcPr>
                <w:p>
                  <w:pPr>
                    <w:pStyle w:val="Style35"/>
                    <w:spacing w:lineRule="auto" w:line="240"/>
                    <w:jc w:val="end"/>
                    <w:rPr/>
                  </w:pPr>
                  <w:r>
                    <w:rPr>
                      <w:rFonts w:cs="Helios-Regular;Times New Roman" w:ascii="PF Din Text Cond Pro" w:hAnsi="PF Din Text Cond Pro"/>
                    </w:rPr>
                    <w:t xml:space="preserve">№ </w:t>
                  </w:r>
                  <w:r>
                    <w:rPr>
                      <w:rFonts w:cs="Helios-Regular;Times New Roman" w:ascii="PF Din Text Cond Pro" w:hAnsi="PF Din Text Cond Pro"/>
                    </w:rPr>
                    <w:t>0269-ТВ-25-1</w:t>
                  </w:r>
                </w:p>
              </w:tc>
            </w:tr>
          </w:tbl>
          <w:p>
            <w:pPr>
              <w:pStyle w:val="Normal"/>
              <w:spacing w:before="0" w:after="0"/>
              <w:contextualSpacing/>
              <w:jc w:val="center"/>
              <w:rPr>
                <w:rFonts w:ascii="PF Din Text Cond Pro" w:hAnsi="PF Din Text Cond Pro" w:cs="PF Din Text Cond Pro"/>
                <w:sz w:val="24"/>
                <w:szCs w:val="24"/>
              </w:rPr>
            </w:pPr>
            <w:r>
              <w:rPr>
                <w:rFonts w:eastAsia="Cambria" w:cs="Helios-Regular;Times New Roman" w:ascii="PF Din Text Cond Pro" w:hAnsi="PF Din Text Cond Pro"/>
                <w:color w:val="000000"/>
                <w:sz w:val="24"/>
                <w:szCs w:val="24"/>
                <w:lang w:eastAsia="en-US"/>
              </w:rPr>
              <w:t>Тверь</w:t>
            </w:r>
          </w:p>
        </w:tc>
      </w:tr>
    </w:tbl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r>
        <w:rPr>
          <w:b/>
          <w:caps/>
          <w:sz w:val="22"/>
          <w:szCs w:val="22"/>
        </w:rPr>
        <w:t>способ и</w:t>
      </w:r>
      <w:r>
        <w:rPr>
          <w:sz w:val="22"/>
          <w:szCs w:val="22"/>
        </w:rPr>
        <w:t xml:space="preserve"> </w:t>
      </w:r>
      <w:r>
        <w:rPr>
          <w:b/>
          <w:caps/>
          <w:sz w:val="22"/>
          <w:szCs w:val="22"/>
        </w:rPr>
        <w:t>ПРЕДМЕТ закупки:</w:t>
      </w:r>
      <w:r>
        <w:rPr>
          <w:sz w:val="22"/>
          <w:szCs w:val="22"/>
        </w:rPr>
        <w:t xml:space="preserve"> запрос цен по результатам конкурентного предварительного отбора на право заключения Договора на выполнение работ по проектированию и строительству объектов: «Строительство ВЛ 10 кВ № 08 ПС 110/35/10 кВ Оленино со строительством участка ВЛ-10 кВ, установкой разъединителей 10кВ, строительство ТП-10/0,4кВ, ВЛ-0,4кВ и ВРЩ-0,4кВ для технологического присоединения энергопринимающих устройств производственного здания/ помещения, расположенного по адресу: Тверская обл., Оленинский м.о., северная окраина пгт. Оленино» (дог. 42602259(Г)). «Строительство участка ВЛ-10кВ от ВЛ 10 кВ № 18 ПС 35/10 кВ Лесное с установкой разъединителей 10кВ, строительство ТП-10/0,4кВ, ВЛ-0,4кВ и ВПУ-0,4кВ для технологического присоединения энергопринимающих устройств газорегуляторного пункта блочного типа ГРПБ Лесное, расположенного по адресу: Российская Федерация, Тверская область, Лесной муниципальный округ, с. Лесное (кадастровый квартал 69:18:0000011)» (дог. 42639620(Г)). «Строительство участка ВЛ-10кВ от ВЛ 10 кВ № 11 ПС 35/10 кВ Алексейково с установкой разъединителей 10кВ, строительство ТП-10/0,4кВ, ВЛ-0,4кВ и ВПУ-0,4кВ для технологического присоединения энергопринимающих устройств газорегуляторного пункта блочного типа ГРПБ Кожина Гора, расположенного по адресу: Российская Федерация, Тверская область, Лесной муниципальный округ, в районе д. Кожина Гора (часть земель кадастрового квартала 69:18:0000016)» (дог. 42639180(Г)) для нужд ПАО «Россети Центр» (филиала «Тверьэнерго»).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/>
        <w:ind w:firstLine="426" w:end="-6"/>
        <w:rPr/>
      </w:pPr>
      <w:r>
        <w:rPr>
          <w:sz w:val="22"/>
          <w:szCs w:val="22"/>
        </w:rPr>
        <w:t>Запрос цен проводится на основании Распоряжения № ТВ/20/793-р от 04.12.2025 года.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ind w:firstLine="426" w:end="-6"/>
        <w:jc w:val="both"/>
        <w:rPr/>
      </w:pPr>
      <w:r>
        <w:rPr>
          <w:b/>
          <w:sz w:val="22"/>
          <w:szCs w:val="22"/>
        </w:rPr>
        <w:t xml:space="preserve">Заказчик и Организатор закупки (далее – Организатор): </w:t>
      </w:r>
      <w:r>
        <w:rPr>
          <w:sz w:val="22"/>
          <w:szCs w:val="22"/>
        </w:rPr>
        <w:t>ПАО «Россети Центр», расположенное по адресу: РФ, 119017, г. Москва, ул. Малая Ордынка, д. 15.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22"/>
          <w:szCs w:val="22"/>
        </w:rPr>
      </w:pPr>
      <w:r>
        <w:rPr>
          <w:sz w:val="22"/>
          <w:szCs w:val="22"/>
        </w:rPr>
        <w:t xml:space="preserve">Извещение о проведении запроса цен было разработано Организатором, утверждено протоколом заседания Закупочной комиссии от 04.12.2025 № 0269-ТВ-25, опубликовано 04.12.2025 на официальном сайте Единой информационной системы в сфере закупок </w:t>
      </w:r>
      <w:hyperlink r:id="rId3">
        <w:r>
          <w:rPr>
            <w:rStyle w:val="Hyperlink"/>
            <w:sz w:val="22"/>
            <w:szCs w:val="22"/>
          </w:rPr>
          <w:t>www.zakupki.gov.ru</w:t>
        </w:r>
      </w:hyperlink>
      <w:r>
        <w:rPr>
          <w:sz w:val="22"/>
          <w:szCs w:val="22"/>
        </w:rPr>
        <w:t xml:space="preserve">, на сайте Электронной торговой площадки Российского аукционного дома (РАД) </w:t>
      </w:r>
      <w:hyperlink r:id="rId4"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.tender.lot-online.ru</w:t>
        </w:r>
      </w:hyperlink>
      <w:r>
        <w:rPr>
          <w:sz w:val="22"/>
          <w:szCs w:val="22"/>
        </w:rPr>
        <w:t xml:space="preserve"> (далее ЭТП)</w:t>
      </w:r>
      <w:r>
        <w:rPr>
          <w:rStyle w:val="Hyperlink"/>
          <w:color w:val="000000"/>
          <w:sz w:val="22"/>
          <w:szCs w:val="22"/>
          <w:u w:val="none"/>
        </w:rPr>
        <w:t>:</w:t>
      </w:r>
      <w:r>
        <w:rPr>
          <w:rStyle w:val="Hyperlink"/>
          <w:sz w:val="22"/>
          <w:szCs w:val="22"/>
          <w:u w:val="none"/>
        </w:rPr>
        <w:t xml:space="preserve"> </w:t>
      </w:r>
      <w:r>
        <w:rPr>
          <w:sz w:val="22"/>
          <w:szCs w:val="22"/>
        </w:rPr>
        <w:t>№ 32515487489.</w:t>
      </w:r>
    </w:p>
    <w:p>
      <w:pPr>
        <w:pStyle w:val="Style21"/>
        <w:tabs>
          <w:tab w:val="clear" w:pos="1134"/>
        </w:tabs>
        <w:spacing w:lineRule="auto" w:line="240"/>
        <w:ind w:firstLine="426" w:start="0" w:end="-6"/>
        <w:rPr>
          <w:sz w:val="22"/>
          <w:szCs w:val="22"/>
        </w:rPr>
      </w:pPr>
      <w:r>
        <w:rPr>
          <w:sz w:val="22"/>
          <w:szCs w:val="22"/>
        </w:rPr>
      </w:r>
      <w:bookmarkStart w:id="0" w:name="_Ref277337881"/>
      <w:bookmarkStart w:id="1" w:name="_Ref57670139"/>
      <w:bookmarkStart w:id="2" w:name="_Ref277337881"/>
      <w:bookmarkStart w:id="3" w:name="_Ref57670139"/>
      <w:bookmarkEnd w:id="2"/>
      <w:bookmarkEnd w:id="3"/>
    </w:p>
    <w:p>
      <w:pPr>
        <w:pStyle w:val="Style21"/>
        <w:tabs>
          <w:tab w:val="clear" w:pos="1134"/>
        </w:tabs>
        <w:spacing w:lineRule="auto" w:line="240"/>
        <w:ind w:firstLine="426" w:start="0" w:end="-6"/>
        <w:rPr>
          <w:sz w:val="22"/>
          <w:szCs w:val="22"/>
        </w:rPr>
      </w:pPr>
      <w:bookmarkStart w:id="4" w:name="_Ref277337881"/>
      <w:bookmarkStart w:id="5" w:name="_Ref57670139"/>
      <w:bookmarkEnd w:id="4"/>
      <w:bookmarkEnd w:id="5"/>
      <w:r>
        <w:rPr>
          <w:sz w:val="22"/>
          <w:szCs w:val="22"/>
        </w:rPr>
        <w:t>В соответствии с Извещением о проведении запроса цен:</w:t>
      </w:r>
    </w:p>
    <w:p>
      <w:pPr>
        <w:pStyle w:val="Normal"/>
        <w:autoSpaceDE w:val="false"/>
        <w:spacing w:lineRule="auto" w:line="240" w:before="40" w:after="0"/>
        <w:rPr>
          <w:b/>
          <w:bCs/>
          <w:iCs/>
          <w:sz w:val="22"/>
          <w:szCs w:val="22"/>
          <w:shd w:fill="FFFF99" w:val="clear"/>
        </w:rPr>
      </w:pPr>
      <w:r>
        <w:rPr>
          <w:sz w:val="22"/>
          <w:szCs w:val="22"/>
        </w:rPr>
        <w:t xml:space="preserve">- начальная (максимальная) цена Договора составляет: </w:t>
      </w:r>
      <w:r>
        <w:rPr>
          <w:b/>
          <w:sz w:val="22"/>
          <w:szCs w:val="22"/>
        </w:rPr>
        <w:t>10 535 162,40</w:t>
      </w:r>
      <w:r>
        <w:rPr>
          <w:sz w:val="22"/>
          <w:szCs w:val="22"/>
        </w:rPr>
        <w:t xml:space="preserve"> (Десять миллионов пятьсот тридцать пять тысяч сто шестьдесят два) рубля 40 копеек РФ, с учетом НДС; НДС составляет </w:t>
      </w:r>
      <w:r>
        <w:rPr>
          <w:b/>
          <w:sz w:val="22"/>
          <w:szCs w:val="22"/>
        </w:rPr>
        <w:t>1 755 860,40</w:t>
      </w:r>
      <w:r>
        <w:rPr>
          <w:sz w:val="22"/>
          <w:szCs w:val="22"/>
        </w:rPr>
        <w:t xml:space="preserve"> (Один миллион семьсот пятьдесят пять тысяч восемьсот шестьдесят) рублей 40 копеек РФ</w:t>
      </w:r>
      <w:r>
        <w:rPr>
          <w:color w:val="000000"/>
          <w:sz w:val="22"/>
          <w:szCs w:val="22"/>
          <w:shd w:fill="FFFFFF" w:val="clear"/>
        </w:rPr>
        <w:t xml:space="preserve"> (по ставке НДС 20%)</w:t>
      </w:r>
      <w:r>
        <w:rPr>
          <w:sz w:val="22"/>
          <w:szCs w:val="22"/>
        </w:rPr>
        <w:t>;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/>
      </w:pPr>
      <w:r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сроки выполнения работ: начало – с даты подписания договора, окончание – не позднее 5 месяцев с даты подписания договора;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/>
      </w:pPr>
      <w:r>
        <w:rPr>
          <w:sz w:val="22"/>
          <w:szCs w:val="22"/>
        </w:rPr>
        <w:t>- объем закупаемых работ: согласно требований, изложенных в Техническом задании (Приложение № 1 к Извещению о проведении запроса цен).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-6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  <w:t>СОСТАВ ЗАКУПОЧНОЙ КОМИССИИ: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426" w:leader="none"/>
        </w:tabs>
        <w:spacing w:lineRule="auto" w:line="240"/>
        <w:ind w:start="0" w:firstLine="426" w:end="-6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68"/>
        <w:gridCol w:w="4786"/>
        <w:gridCol w:w="2869"/>
      </w:tblGrid>
      <w:tr>
        <w:trPr>
          <w:trHeight w:val="419" w:hRule="atLeast"/>
        </w:trPr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0" w:end="-6"/>
              <w:contextualSpacing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Статус в составе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Юрченко В.О.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2"/>
                <w:szCs w:val="22"/>
              </w:rPr>
              <w:t>Председатель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Веселова И.С.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закупочной деятельности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autoSpaceDE w:val="false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Надвидов Р.Т.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2"/>
                <w:szCs w:val="22"/>
              </w:rPr>
              <w:t>Заместитель директора по безопасности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  <w:highlight w:val="yellow"/>
              </w:rPr>
            </w:pPr>
            <w:r>
              <w:rPr>
                <w:bCs/>
                <w:color w:val="000000"/>
                <w:sz w:val="22"/>
                <w:szCs w:val="22"/>
              </w:rPr>
              <w:t>Чумаченко А.И.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</w:rPr>
              <w:t>Первый заместитель директора – главный инженер филиала 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Камышинский К.О.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/>
            </w:pPr>
            <w:r>
              <w:rPr>
                <w:bCs/>
                <w:color w:val="000000"/>
                <w:sz w:val="22"/>
                <w:szCs w:val="22"/>
              </w:rPr>
              <w:t xml:space="preserve">Заместитель директора по экономике и финансам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Новгородский Л.Д.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 xml:space="preserve">Заместитель директора по реализации услуг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Бренч С.В.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 xml:space="preserve">Заместитель директора по инвестиционной деятельности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Валтахов Е.А.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/>
            </w:pPr>
            <w:r>
              <w:rPr>
                <w:bCs/>
                <w:color w:val="000000"/>
                <w:sz w:val="22"/>
                <w:szCs w:val="22"/>
              </w:rPr>
              <w:t xml:space="preserve">Начальник управления логистики и материально-технического обеспечения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Андреев А.С.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bCs/>
                <w:color w:val="000000"/>
                <w:sz w:val="22"/>
                <w:szCs w:val="22"/>
              </w:rPr>
              <w:t xml:space="preserve">Начальник управления правового обеспечения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Солянин Р.В.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З</w:t>
            </w:r>
            <w:r>
              <w:rPr>
                <w:sz w:val="22"/>
                <w:szCs w:val="22"/>
                <w:shd w:fill="FFFFFF" w:val="clear"/>
              </w:rPr>
              <w:t>аместитель генерального директора по инвестиционной деятельности и капитальному строительству </w:t>
            </w:r>
            <w:r>
              <w:rPr>
                <w:bCs/>
                <w:sz w:val="22"/>
                <w:szCs w:val="22"/>
              </w:rPr>
              <w:t>ПАО «Россети Центр»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rPr>
                <w:bCs/>
                <w:color w:val="000000"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Коренько И.В.</w:t>
            </w:r>
          </w:p>
        </w:tc>
        <w:tc>
          <w:tcPr>
            <w:tcW w:w="4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/>
            </w:pPr>
            <w:r>
              <w:rPr>
                <w:iCs/>
                <w:sz w:val="22"/>
                <w:szCs w:val="22"/>
              </w:rPr>
              <w:t xml:space="preserve">Специалист 1 категории отдела закупочной деятельности филиала </w:t>
            </w:r>
            <w:r>
              <w:rPr>
                <w:sz w:val="22"/>
                <w:szCs w:val="22"/>
              </w:rPr>
              <w:t>ПАО «Россети Центр» - «Тверьэнерго»</w:t>
            </w:r>
          </w:p>
        </w:tc>
        <w:tc>
          <w:tcPr>
            <w:tcW w:w="28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Ответственный секретарь (без права голоса)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caps/>
          <w:sz w:val="22"/>
          <w:szCs w:val="22"/>
        </w:rPr>
      </w:pPr>
      <w:r>
        <w:rPr>
          <w:sz w:val="22"/>
          <w:szCs w:val="22"/>
        </w:rPr>
        <w:t>На заседании Закупочной комиссии присутствует не менее чем пятьдесят процентов общего числа ее членов. Кворум имеется, комиссия правомочна.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  <w:t>КРАТКИЙ ОТЧЕТ: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22"/>
          <w:szCs w:val="22"/>
        </w:rPr>
        <w:t xml:space="preserve">До окончания срока подачи заявок на сайт ЭТП </w:t>
      </w:r>
      <w:hyperlink r:id="rId5"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.tender.lot-online.ru</w:t>
        </w:r>
      </w:hyperlink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поступили следующие общие части заявок: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7088"/>
        <w:gridCol w:w="2268"/>
      </w:tblGrid>
      <w:tr>
        <w:trPr>
          <w:trHeight w:val="374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708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Сведения об Участниках закупки</w:t>
            </w:r>
          </w:p>
        </w:tc>
        <w:tc>
          <w:tcPr>
            <w:tcW w:w="226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 на ЭТП</w:t>
            </w:r>
          </w:p>
        </w:tc>
      </w:tr>
      <w:tr>
        <w:trPr>
          <w:trHeight w:val="375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6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4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color w:val="000000"/>
                <w:sz w:val="20"/>
                <w:shd w:fill="FFFFFF" w:val="clear"/>
              </w:rPr>
            </w:pPr>
            <w:r>
              <w:rPr>
                <w:color w:val="000000"/>
                <w:sz w:val="20"/>
                <w:shd w:fill="FFFFFF" w:val="clear"/>
              </w:rPr>
              <w:t>Участник № 449810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 xml:space="preserve">ООО "ЭЛЕКТРОГАРАНТ", </w:t>
            </w:r>
            <w:r>
              <w:rPr>
                <w:sz w:val="20"/>
              </w:rPr>
              <w:t xml:space="preserve">ИНН </w:t>
            </w:r>
            <w:r>
              <w:rPr>
                <w:color w:val="000000"/>
                <w:sz w:val="20"/>
                <w:shd w:fill="FFFFFF" w:val="clear"/>
              </w:rPr>
              <w:t>7708783560</w:t>
            </w:r>
            <w:r>
              <w:rPr>
                <w:sz w:val="20"/>
              </w:rPr>
              <w:t xml:space="preserve">, КПП </w:t>
            </w:r>
            <w:r>
              <w:rPr>
                <w:color w:val="000000"/>
                <w:sz w:val="20"/>
                <w:shd w:fill="FFFFFF" w:val="clear"/>
              </w:rPr>
              <w:t>695001001</w:t>
            </w:r>
            <w:r>
              <w:rPr>
                <w:sz w:val="20"/>
              </w:rPr>
              <w:t xml:space="preserve">, адрес: </w:t>
            </w:r>
            <w:r>
              <w:rPr>
                <w:color w:val="000000"/>
                <w:sz w:val="20"/>
                <w:shd w:fill="FFFFFF" w:val="clear"/>
              </w:rPr>
              <w:t>170100, ТВЕРСКАЯ ОБЛАСТЬ, г.о. ГОРОД ТВЕРЬ, Г ТВЕРЬ, УЛ МОСКОВСКАЯ, Д. 82, ОФИС 7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09.12.2025 21:18:58 MCK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4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  <w:tc>
          <w:tcPr>
            <w:tcW w:w="7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color w:val="000000"/>
                <w:sz w:val="20"/>
                <w:shd w:fill="FFFFFF" w:val="clear"/>
              </w:rPr>
            </w:pPr>
            <w:r>
              <w:rPr>
                <w:color w:val="000000"/>
                <w:sz w:val="20"/>
                <w:shd w:fill="FFFFFF" w:val="clear"/>
              </w:rPr>
              <w:t>Участник № 450258</w:t>
            </w:r>
          </w:p>
          <w:p>
            <w:pPr>
              <w:pStyle w:val="Normal"/>
              <w:widowControl w:val="false"/>
              <w:spacing w:lineRule="auto" w:line="240"/>
              <w:jc w:val="center"/>
              <w:rPr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 xml:space="preserve">АО "МЕРИНГ ИНЖИНИРИНГ", </w:t>
            </w:r>
            <w:r>
              <w:rPr>
                <w:sz w:val="20"/>
              </w:rPr>
              <w:t xml:space="preserve">ИНН </w:t>
            </w:r>
            <w:r>
              <w:rPr>
                <w:color w:val="000000"/>
                <w:sz w:val="20"/>
                <w:shd w:fill="FFFFFF" w:val="clear"/>
              </w:rPr>
              <w:t>6950049622</w:t>
            </w:r>
            <w:r>
              <w:rPr>
                <w:sz w:val="20"/>
              </w:rPr>
              <w:t xml:space="preserve">, КПП </w:t>
            </w:r>
            <w:r>
              <w:rPr>
                <w:color w:val="000000"/>
                <w:sz w:val="20"/>
                <w:shd w:fill="FFFFFF" w:val="clear"/>
              </w:rPr>
              <w:t>695001001</w:t>
            </w:r>
            <w:r>
              <w:rPr>
                <w:sz w:val="20"/>
              </w:rPr>
              <w:t xml:space="preserve">, адрес: </w:t>
            </w:r>
            <w:r>
              <w:rPr>
                <w:color w:val="000000"/>
                <w:sz w:val="20"/>
                <w:shd w:fill="FFFFFF" w:val="clear"/>
              </w:rPr>
              <w:t>170100, ТВЕРСКАЯ ОБЛАСТЬ, Г. ТВЕРЬ, УЛ. МОСКОВСКАЯ, Д. 82, ПОМЕЩ. 621, ЭТАЖ 6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color w:val="000000"/>
                <w:sz w:val="20"/>
                <w:shd w:fill="FFFFFF" w:val="clear"/>
              </w:rPr>
              <w:t>10.12.2025 16:45:14 MCK</w:t>
            </w:r>
          </w:p>
        </w:tc>
      </w:tr>
    </w:tbl>
    <w:p>
      <w:pPr>
        <w:pStyle w:val="BodyText"/>
        <w:widowControl w:val="false"/>
        <w:ind w:firstLine="426" w:end="-6"/>
        <w:rPr>
          <w:sz w:val="22"/>
          <w:szCs w:val="22"/>
        </w:rPr>
      </w:pPr>
      <w:r>
        <w:rPr>
          <w:sz w:val="22"/>
          <w:szCs w:val="22"/>
        </w:rPr>
        <w:t>Количество поступивших заявок: 2 шт.</w:t>
      </w:r>
    </w:p>
    <w:p>
      <w:pPr>
        <w:pStyle w:val="BodyText"/>
        <w:widowControl w:val="false"/>
        <w:ind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t>РЕШЕНИЕ ЗАКУПОЧНОЙ КОМИССИИ:</w:t>
      </w:r>
    </w:p>
    <w:p>
      <w:pPr>
        <w:pStyle w:val="Normal"/>
        <w:widowControl w:val="false"/>
        <w:spacing w:lineRule="auto" w:line="240"/>
        <w:ind w:hanging="0" w:end="0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2"/>
          <w:szCs w:val="22"/>
        </w:rPr>
      </w:pPr>
      <w:bookmarkStart w:id="6" w:name="_Ref93304289"/>
      <w:bookmarkEnd w:id="6"/>
      <w:r>
        <w:rPr>
          <w:b/>
          <w:sz w:val="22"/>
          <w:szCs w:val="22"/>
        </w:rPr>
        <w:t>Признать соответствующими условиям запроса цен общие части заявок: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 w:start="426" w:end="0"/>
        <w:outlineLvl w:val="2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ind w:firstLine="426" w:end="0"/>
        <w:rPr/>
      </w:pPr>
      <w:r>
        <w:rPr>
          <w:sz w:val="20"/>
        </w:rPr>
        <w:t xml:space="preserve">- </w:t>
      </w:r>
      <w:r>
        <w:rPr>
          <w:color w:val="000000"/>
          <w:sz w:val="20"/>
          <w:shd w:fill="FFFFFF" w:val="clear"/>
        </w:rPr>
        <w:t xml:space="preserve">ООО "ЭЛЕКТРОГАРАНТ", </w:t>
      </w:r>
      <w:r>
        <w:rPr>
          <w:sz w:val="20"/>
        </w:rPr>
        <w:t xml:space="preserve">ИНН </w:t>
      </w:r>
      <w:r>
        <w:rPr>
          <w:color w:val="000000"/>
          <w:sz w:val="20"/>
          <w:shd w:fill="FFFFFF" w:val="clear"/>
        </w:rPr>
        <w:t>7708783560</w:t>
      </w:r>
      <w:r>
        <w:rPr>
          <w:sz w:val="20"/>
        </w:rPr>
        <w:t xml:space="preserve">, КПП </w:t>
      </w:r>
      <w:r>
        <w:rPr>
          <w:color w:val="000000"/>
          <w:sz w:val="20"/>
          <w:shd w:fill="FFFFFF" w:val="clear"/>
        </w:rPr>
        <w:t>695001001</w:t>
      </w:r>
      <w:r>
        <w:rPr>
          <w:sz w:val="20"/>
        </w:rPr>
        <w:t xml:space="preserve">, адрес: </w:t>
      </w:r>
      <w:r>
        <w:rPr>
          <w:color w:val="000000"/>
          <w:sz w:val="20"/>
          <w:shd w:fill="FFFFFF" w:val="clear"/>
        </w:rPr>
        <w:t>170100, ТВЕРСКАЯ ОБЛАСТЬ, г.о. ГОРОД ТВЕРЬ, Г ТВЕРЬ, УЛ МОСКОВСКАЯ, Д. 82, ОФИС 7;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ind w:firstLine="426" w:end="0"/>
        <w:rPr/>
      </w:pPr>
      <w:r>
        <w:rPr>
          <w:color w:val="000000"/>
          <w:sz w:val="20"/>
          <w:shd w:fill="FFFFFF" w:val="clear"/>
        </w:rPr>
        <w:t xml:space="preserve">- АО "МЕРИНГ ИНЖИНИРИНГ", </w:t>
      </w:r>
      <w:r>
        <w:rPr>
          <w:sz w:val="20"/>
        </w:rPr>
        <w:t xml:space="preserve">ИНН </w:t>
      </w:r>
      <w:r>
        <w:rPr>
          <w:color w:val="000000"/>
          <w:sz w:val="20"/>
          <w:shd w:fill="FFFFFF" w:val="clear"/>
        </w:rPr>
        <w:t>6950049622</w:t>
      </w:r>
      <w:r>
        <w:rPr>
          <w:sz w:val="20"/>
        </w:rPr>
        <w:t xml:space="preserve">, КПП </w:t>
      </w:r>
      <w:r>
        <w:rPr>
          <w:color w:val="000000"/>
          <w:sz w:val="20"/>
          <w:shd w:fill="FFFFFF" w:val="clear"/>
        </w:rPr>
        <w:t>695001001</w:t>
      </w:r>
      <w:r>
        <w:rPr>
          <w:sz w:val="20"/>
        </w:rPr>
        <w:t xml:space="preserve">, адрес: </w:t>
      </w:r>
      <w:r>
        <w:rPr>
          <w:color w:val="000000"/>
          <w:sz w:val="20"/>
          <w:shd w:fill="FFFFFF" w:val="clear"/>
        </w:rPr>
        <w:t>170100, ТВЕРСКАЯ ОБЛАСТЬ, Г. ТВЕРЬ, УЛ. МОСКОВСКАЯ, Д. 82, ПОМЕЩ. 621, ЭТАЖ 6.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>
          <w:color w:val="000000"/>
          <w:sz w:val="22"/>
          <w:szCs w:val="22"/>
          <w:shd w:fill="FFFFFF" w:val="clear"/>
        </w:rPr>
      </w:pPr>
      <w:r>
        <w:rPr>
          <w:color w:val="000000"/>
          <w:sz w:val="22"/>
          <w:szCs w:val="22"/>
          <w:shd w:fill="FFFFFF" w:val="clear"/>
        </w:rPr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/>
      </w:pPr>
      <w:bookmarkStart w:id="7" w:name="_Ref93304289"/>
      <w:bookmarkEnd w:id="7"/>
      <w:r>
        <w:rPr>
          <w:b/>
          <w:i/>
          <w:sz w:val="22"/>
          <w:szCs w:val="22"/>
          <w:lang w:val="en-US"/>
        </w:rPr>
        <w:t xml:space="preserve">Я, член Закупочной комиссии, подписавший настоящий протокол, подтверждаю, что не связан в настоящем ни с одним из участников данного запроса цен таким образом, что это помешает беспристрастно </w:t>
      </w:r>
      <w:r>
        <w:rPr>
          <w:b/>
          <w:i/>
          <w:sz w:val="22"/>
          <w:szCs w:val="22"/>
        </w:rPr>
        <w:t>рассматривать</w:t>
      </w:r>
      <w:r>
        <w:rPr>
          <w:b/>
          <w:i/>
          <w:sz w:val="22"/>
          <w:szCs w:val="22"/>
          <w:lang w:val="en-US"/>
        </w:rPr>
        <w:t xml:space="preserve"> поданные заявки участников.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/>
      </w:pPr>
      <w:r>
        <w:rPr>
          <w:b/>
          <w:i/>
          <w:sz w:val="22"/>
          <w:szCs w:val="22"/>
          <w:lang w:val="en-US"/>
        </w:rPr>
        <w:t xml:space="preserve">В случае возникновения в период проведения запроса цен любых обстоятельств, мешающих давать беспристрастные оценки, либо в случае попытки оказания влияния на оценки члена Закупочной комиссии со стороны участников или иных лиц, не участвующих в </w:t>
      </w:r>
      <w:r>
        <w:rPr>
          <w:b/>
          <w:i/>
          <w:sz w:val="22"/>
          <w:szCs w:val="22"/>
        </w:rPr>
        <w:t>рассмотрении</w:t>
      </w:r>
      <w:r>
        <w:rPr>
          <w:b/>
          <w:i/>
          <w:sz w:val="22"/>
          <w:szCs w:val="22"/>
          <w:lang w:val="en-US"/>
        </w:rPr>
        <w:t xml:space="preserve"> заявок, член Закупочной комиссии обязуется незамедлительно доложить об этом лично председателю Закупочной комиссии.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/>
      </w:pPr>
      <w:r>
        <w:rPr>
          <w:b/>
          <w:i/>
          <w:sz w:val="22"/>
          <w:szCs w:val="22"/>
          <w:lang w:val="en-US"/>
        </w:rPr>
        <w:t>Вс</w:t>
      </w:r>
      <w:r>
        <w:rPr>
          <w:b/>
          <w:i/>
          <w:sz w:val="22"/>
          <w:szCs w:val="22"/>
        </w:rPr>
        <w:t>ю</w:t>
      </w:r>
      <w:r>
        <w:rPr>
          <w:b/>
          <w:i/>
          <w:sz w:val="22"/>
          <w:szCs w:val="22"/>
          <w:lang w:val="en-US"/>
        </w:rPr>
        <w:t xml:space="preserve"> информаци</w:t>
      </w:r>
      <w:r>
        <w:rPr>
          <w:b/>
          <w:i/>
          <w:sz w:val="22"/>
          <w:szCs w:val="22"/>
        </w:rPr>
        <w:t>ю</w:t>
      </w:r>
      <w:r>
        <w:rPr>
          <w:b/>
          <w:i/>
          <w:sz w:val="22"/>
          <w:szCs w:val="22"/>
          <w:lang w:val="en-US"/>
        </w:rPr>
        <w:t xml:space="preserve"> о заявках, разъяснениях, рассмотрении, отбору, оценках и сопоставлении заявок, до подведения результатов запроса цен, член Закупочной комиссии обязуется ни при каких обстоятельствах не сообщать участникам и лицам, не имеющим отношения к процедуре рассмотрения заявок.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>
          <w:b/>
          <w:i/>
          <w:i/>
          <w:sz w:val="22"/>
          <w:szCs w:val="22"/>
          <w:lang w:val="en-US"/>
        </w:rPr>
      </w:pPr>
      <w:r>
        <w:rPr>
          <w:b/>
          <w:i/>
          <w:sz w:val="22"/>
          <w:szCs w:val="22"/>
          <w:lang w:val="en-US"/>
        </w:rPr>
        <w:t>В случае необходимости обращения к Участнику запроса цен до подведения результатов, член Закупочной комиссии обязуется это сделать через Организатора данного запроса цен.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/>
      </w:pPr>
      <w:r>
        <w:rPr>
          <w:b/>
          <w:i/>
          <w:sz w:val="22"/>
          <w:szCs w:val="22"/>
          <w:lang w:val="en-US"/>
        </w:rPr>
        <w:t>Член Закупочной комиссии несет персональную ответственность за разглашение этих сведений до подведения результатов запроса цен</w:t>
      </w:r>
      <w:r>
        <w:rPr>
          <w:b/>
          <w:i/>
          <w:sz w:val="22"/>
          <w:szCs w:val="22"/>
        </w:rPr>
        <w:t>.</w:t>
      </w:r>
    </w:p>
    <w:p>
      <w:pPr>
        <w:pStyle w:val="Normal"/>
        <w:overflowPunct w:val="false"/>
        <w:autoSpaceDE w:val="false"/>
        <w:spacing w:lineRule="auto" w:line="240"/>
        <w:ind w:firstLine="426" w:end="0"/>
        <w:textAlignment w:val="baseline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2"/>
          <w:szCs w:val="22"/>
        </w:rPr>
      </w:pPr>
      <w:r>
        <w:rPr>
          <w:b/>
          <w:sz w:val="22"/>
          <w:szCs w:val="22"/>
        </w:rPr>
        <w:t>РЕЗУЛЬТАТЫ ГОЛОСОВАНИЯ: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«За»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«Против»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«Воздержалось»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/>
      </w:pPr>
      <w:r>
        <w:rPr>
          <w:b/>
          <w:caps/>
          <w:sz w:val="22"/>
          <w:szCs w:val="22"/>
        </w:rPr>
        <w:t>ПОДПИСИ ЧЛЕНОВ Закупочной</w:t>
      </w:r>
      <w:r>
        <w:rPr/>
        <w:t xml:space="preserve"> КОМИССИИ:</w:t>
      </w:r>
    </w:p>
    <w:tbl>
      <w:tblPr>
        <w:tblW w:w="100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36"/>
        <w:gridCol w:w="3372"/>
        <w:gridCol w:w="2723"/>
      </w:tblGrid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Председатель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Юрченко В.О.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Заместитель председателя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Веселова И.С.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Члены 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bCs/>
                <w:color w:val="000000"/>
                <w:sz w:val="22"/>
                <w:szCs w:val="22"/>
                <w:lang w:eastAsia="en-US"/>
              </w:rPr>
              <w:t>Надвидов Р.Т.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Чумаченко А.И.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Камышинский К.О.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Новгородский Л.Д.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-108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Бренч С.В.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-108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Валтахов Е.А.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mbria"/>
                <w:color w:val="000000"/>
                <w:sz w:val="22"/>
                <w:szCs w:val="22"/>
                <w:lang w:eastAsia="en-US"/>
              </w:rPr>
              <w:t>Андреев А.С.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rPr>
                <w:rFonts w:eastAsia="Calibri"/>
                <w:sz w:val="22"/>
                <w:szCs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szCs w:val="22"/>
                <w:highlight w:val="yellow"/>
                <w:lang w:eastAsia="en-US"/>
              </w:rPr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>Солянин Р.В.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Ответственный секретарь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22"/>
                <w:szCs w:val="22"/>
              </w:rPr>
              <w:t>Закупочной</w:t>
            </w:r>
            <w:r>
              <w:rPr>
                <w:b/>
                <w:i/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комиссии:</w:t>
            </w:r>
          </w:p>
        </w:tc>
        <w:tc>
          <w:tcPr>
            <w:tcW w:w="3372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_________________________</w:t>
            </w:r>
          </w:p>
        </w:tc>
        <w:tc>
          <w:tcPr>
            <w:tcW w:w="2723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</w:rPr>
              <w:t xml:space="preserve">Коренько И.В. 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</w:r>
    </w:p>
    <w:sectPr>
      <w:headerReference w:type="default" r:id="rId6"/>
      <w:footerReference w:type="default" r:id="rId7"/>
      <w:type w:val="nextPage"/>
      <w:pgSz w:w="11906" w:h="16838"/>
      <w:pgMar w:left="1134" w:right="849" w:gutter="0" w:header="680" w:top="166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MinionPro-Regular">
    <w:altName w:val="Times New Roman"/>
    <w:charset w:val="cc" w:characterSet="windows-1251"/>
    <w:family w:val="auto"/>
    <w:pitch w:val="default"/>
  </w:font>
  <w:font w:name="PF Din Text Cond Pro Light">
    <w:charset w:val="cc" w:characterSet="windows-1251"/>
    <w:family w:val="auto"/>
    <w:pitch w:val="variable"/>
  </w:font>
  <w:font w:name="PF Din Text Cond Pro">
    <w:charset w:val="00" w:characterSet="windows-1252"/>
    <w:family w:val="auto"/>
    <w:pitch w:val="variable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t xml:space="preserve">стр.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  <w:r>
      <w:rPr>
        <w:rStyle w:val="PageNumber"/>
      </w:rPr>
      <w:t xml:space="preserve"> из </w:t>
    </w:r>
    <w:r>
      <w:rPr>
        <w:rStyle w:val="PageNumber"/>
      </w:rPr>
      <w:fldChar w:fldCharType="begin"/>
    </w:r>
    <w:r>
      <w:rPr>
        <w:rStyle w:val="PageNumber"/>
      </w:rPr>
      <w:instrText xml:space="preserve"> NUMPAGES \* ARABIC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t xml:space="preserve">Протокол очно-заочного заседания </w:t>
    </w:r>
    <w:r>
      <w:rPr>
        <w:lang w:val="ru-RU"/>
      </w:rPr>
      <w:t>Закупочной</w:t>
    </w:r>
    <w:r>
      <w:rPr/>
      <w:t xml:space="preserve"> комиссии </w:t>
    </w:r>
  </w:p>
  <w:p>
    <w:pPr>
      <w:pStyle w:val="Header"/>
      <w:jc w:val="end"/>
      <w:rPr/>
    </w:pPr>
    <w:r>
      <w:rPr/>
      <w:t xml:space="preserve">по рассмотрению </w:t>
    </w:r>
    <w:r>
      <w:rPr>
        <w:lang w:val="ru-RU"/>
      </w:rPr>
      <w:t>и оценке технических предложений заявок</w:t>
    </w:r>
    <w:r>
      <w:rPr/>
      <w:t xml:space="preserve"> участников</w:t>
    </w:r>
  </w:p>
  <w:p>
    <w:pPr>
      <w:pStyle w:val="Header"/>
      <w:jc w:val="end"/>
      <w:rPr>
        <w:lang w:val="ru-RU"/>
      </w:rPr>
    </w:pPr>
    <w:r>
      <w:rPr/>
      <w:t xml:space="preserve">№ </w:t>
    </w:r>
    <w:r>
      <w:rPr>
        <w:lang w:val="ru-RU"/>
      </w:rPr>
      <w:t>0269</w:t>
    </w:r>
    <w:r>
      <w:rPr/>
      <w:t>-ТВ-</w:t>
    </w:r>
    <w:r>
      <w:rPr>
        <w:lang w:val="ru-RU"/>
      </w:rPr>
      <w:t>25</w:t>
    </w:r>
    <w:r>
      <w:rPr/>
      <w:t>-1</w:t>
    </w:r>
  </w:p>
  <w:p>
    <w:pPr>
      <w:pStyle w:val="Header"/>
      <w:jc w:val="end"/>
      <w:rPr>
        <w:sz w:val="6"/>
        <w:szCs w:val="6"/>
        <w:lang w:val="ru-RU"/>
      </w:rPr>
    </w:pPr>
    <w:r>
      <w:rPr>
        <w:sz w:val="6"/>
        <w:szCs w:val="6"/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287"/>
        </w:tabs>
        <w:ind w:start="153" w:firstLine="567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134"/>
        </w:tabs>
        <w:ind w:start="1134" w:hanging="1134"/>
      </w:pPr>
      <w:rPr/>
    </w:lvl>
    <w:lvl w:ilvl="1">
      <w:start w:val="1"/>
      <w:numFmt w:val="decimal"/>
      <w:lvlText w:val="%1.%2"/>
      <w:lvlJc w:val="start"/>
      <w:pPr>
        <w:tabs>
          <w:tab w:val="num" w:pos="1134"/>
        </w:tabs>
        <w:ind w:start="1134" w:hanging="1134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3">
      <w:start w:val="1"/>
      <w:numFmt w:val="decimal"/>
      <w:lvlText w:val="%1.%2.%3.%4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4">
      <w:start w:val="1"/>
      <w:numFmt w:val="lowerLetter"/>
      <w:lvlText w:val="%5)"/>
      <w:lvlJc w:val="start"/>
      <w:pPr>
        <w:tabs>
          <w:tab w:val="num" w:pos="1701"/>
        </w:tabs>
        <w:ind w:start="1701" w:hanging="567"/>
      </w:pPr>
      <w:rPr/>
    </w:lvl>
    <w:lvl w:ilvl="5">
      <w:start w:val="1"/>
      <w:numFmt w:val="decimal"/>
      <w:lvlText w:val="%1.%2.%3.%4.%5.%6."/>
      <w:lvlJc w:val="start"/>
      <w:pPr>
        <w:tabs>
          <w:tab w:val="num" w:pos="396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468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40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120"/>
        </w:tabs>
        <w:ind w:start="4320" w:hanging="144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30"/>
        </w:tabs>
        <w:ind w:start="143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567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pageBreakBefore/>
      <w:numPr>
        <w:ilvl w:val="0"/>
        <w:numId w:val="6"/>
      </w:numPr>
      <w:suppressAutoHyphens w:val="true"/>
      <w:spacing w:lineRule="auto" w:line="240" w:before="480" w:after="240"/>
      <w:jc w:val="star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6"/>
      </w:numPr>
      <w:suppressAutoHyphens w:val="true"/>
      <w:spacing w:lineRule="auto" w:line="240" w:before="360" w:after="12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5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5"/>
      </w:numPr>
      <w:tabs>
        <w:tab w:val="clear" w:pos="567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567"/>
        <w:tab w:val="left" w:pos="1080" w:leader="none"/>
      </w:tabs>
      <w:suppressAutoHyphens w:val="true"/>
      <w:spacing w:before="60" w:after="0"/>
      <w:ind w:hanging="1080" w:start="1080" w:end="0"/>
      <w:outlineLvl w:val="4"/>
    </w:pPr>
    <w:rPr>
      <w:b/>
      <w:sz w:val="26"/>
    </w:rPr>
  </w:style>
  <w:style w:type="paragraph" w:styleId="Heading6">
    <w:name w:val="heading 6"/>
    <w:basedOn w:val="Normal"/>
    <w:next w:val="Normal"/>
    <w:qFormat/>
    <w:pPr>
      <w:widowControl w:val="false"/>
      <w:numPr>
        <w:ilvl w:val="5"/>
        <w:numId w:val="1"/>
      </w:numPr>
      <w:tabs>
        <w:tab w:val="clear" w:pos="567"/>
        <w:tab w:val="left" w:pos="1080" w:leader="none"/>
      </w:tabs>
      <w:suppressAutoHyphens w:val="true"/>
      <w:spacing w:before="240" w:after="60"/>
      <w:ind w:hanging="1080" w:start="1080" w:end="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pPr>
      <w:widowControl w:val="false"/>
      <w:numPr>
        <w:ilvl w:val="6"/>
        <w:numId w:val="1"/>
      </w:numPr>
      <w:tabs>
        <w:tab w:val="clear" w:pos="567"/>
        <w:tab w:val="left" w:pos="1440" w:leader="none"/>
      </w:tabs>
      <w:suppressAutoHyphens w:val="true"/>
      <w:spacing w:before="240" w:after="60"/>
      <w:ind w:hanging="1440" w:start="1440" w:end="0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widowControl w:val="false"/>
      <w:numPr>
        <w:ilvl w:val="7"/>
        <w:numId w:val="1"/>
      </w:numPr>
      <w:suppressAutoHyphens w:val="true"/>
      <w:spacing w:before="240" w:after="60"/>
      <w:outlineLvl w:val="7"/>
    </w:pPr>
    <w:rPr>
      <w:i/>
      <w:sz w:val="26"/>
    </w:rPr>
  </w:style>
  <w:style w:type="paragraph" w:styleId="Heading9">
    <w:name w:val="heading 9"/>
    <w:basedOn w:val="Normal"/>
    <w:next w:val="Normal"/>
    <w:qFormat/>
    <w:pPr>
      <w:widowControl w:val="false"/>
      <w:numPr>
        <w:ilvl w:val="8"/>
        <w:numId w:val="1"/>
      </w:numPr>
      <w:tabs>
        <w:tab w:val="clear" w:pos="567"/>
        <w:tab w:val="left" w:pos="1800" w:leader="none"/>
      </w:tabs>
      <w:suppressAutoHyphens w:val="true"/>
      <w:spacing w:before="240" w:after="60"/>
      <w:ind w:hanging="1800" w:start="1800" w:end="0"/>
      <w:outlineLvl w:val="8"/>
    </w:pPr>
    <w:rPr>
      <w:rFonts w:ascii="Arial" w:hAnsi="Arial" w:cs="Arial"/>
      <w:sz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b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b w:val="false"/>
    </w:rPr>
  </w:style>
  <w:style w:type="character" w:styleId="WW8Num10z1">
    <w:name w:val="WW8Num10z1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2z2">
    <w:name w:val="WW8Num12z2"/>
    <w:qFormat/>
    <w:rPr>
      <w:b w:val="false"/>
      <w:i w:val="false"/>
    </w:rPr>
  </w:style>
  <w:style w:type="character" w:styleId="WW8Num13z0">
    <w:name w:val="WW8Num13z0"/>
    <w:qFormat/>
    <w:rPr>
      <w:rFonts w:ascii="Wingdings" w:hAnsi="Wingdings" w:cs="Wingdings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4">
    <w:name w:val="WW8Num14z4"/>
    <w:qFormat/>
    <w:rPr>
      <w:rFonts w:ascii="Courier New" w:hAnsi="Courier New" w:cs="Courier New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Times New Roman" w:hAnsi="Times New Roman" w:cs="Times New Roman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6z3">
    <w:name w:val="WW8Num16z3"/>
    <w:qFormat/>
    <w:rPr>
      <w:rFonts w:ascii="Symbol" w:hAnsi="Symbol" w:cs="Symbol"/>
    </w:rPr>
  </w:style>
  <w:style w:type="character" w:styleId="WW8Num17z0">
    <w:name w:val="WW8Num17z0"/>
    <w:qFormat/>
    <w:rPr>
      <w:b/>
      <w:i w:val="false"/>
    </w:rPr>
  </w:style>
  <w:style w:type="character" w:styleId="WW8Num17z1">
    <w:name w:val="WW8Num17z1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20z0">
    <w:name w:val="WW8Num20z0"/>
    <w:qFormat/>
    <w:rPr>
      <w:b/>
    </w:rPr>
  </w:style>
  <w:style w:type="character" w:styleId="WW8Num20z1">
    <w:name w:val="WW8Num20z1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rFonts w:ascii="Wingdings" w:hAnsi="Wingdings" w:cs="Wingdings"/>
    </w:rPr>
  </w:style>
  <w:style w:type="character" w:styleId="WW8Num22z1">
    <w:name w:val="WW8Num22z1"/>
    <w:qFormat/>
    <w:rPr>
      <w:rFonts w:ascii="Courier New" w:hAnsi="Courier New" w:cs="Courier New"/>
    </w:rPr>
  </w:style>
  <w:style w:type="character" w:styleId="WW8Num22z3">
    <w:name w:val="WW8Num22z3"/>
    <w:qFormat/>
    <w:rPr>
      <w:rFonts w:ascii="Symbol" w:hAnsi="Symbol" w:cs="Symbol"/>
    </w:rPr>
  </w:style>
  <w:style w:type="character" w:styleId="WW8Num23z0">
    <w:name w:val="WW8Num23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rPr>
      <w:rFonts w:ascii="Times New Roman" w:hAnsi="Times New Roman" w:cs="Times New Roman"/>
      <w:sz w:val="20"/>
    </w:rPr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Пункт Знак"/>
    <w:qFormat/>
    <w:rPr>
      <w:sz w:val="28"/>
      <w:lang w:val="ru-RU" w:bidi="ar-SA"/>
    </w:rPr>
  </w:style>
  <w:style w:type="character" w:styleId="Style7">
    <w:name w:val="комментарий"/>
    <w:qFormat/>
    <w:rPr>
      <w:b/>
      <w:i/>
      <w:shd w:fill="FFFF99" w:val="clear"/>
    </w:rPr>
  </w:style>
  <w:style w:type="character" w:styleId="1">
    <w:name w:val="Основной текст Знак1"/>
    <w:qFormat/>
    <w:rPr>
      <w:sz w:val="28"/>
      <w:szCs w:val="24"/>
      <w:lang w:val="ru-RU" w:bidi="ar-SA"/>
    </w:rPr>
  </w:style>
  <w:style w:type="character" w:styleId="Style8">
    <w:name w:val="Обычный+ без отступа Знак"/>
    <w:qFormat/>
    <w:rPr>
      <w:rFonts w:eastAsia="MS Mincho;ＭＳ 明朝"/>
      <w:sz w:val="28"/>
      <w:szCs w:val="28"/>
      <w:lang w:val="ru-RU" w:bidi="ar-SA"/>
    </w:rPr>
  </w:style>
  <w:style w:type="character" w:styleId="Style9">
    <w:name w:val="Название Знак"/>
    <w:qFormat/>
    <w:rPr>
      <w:sz w:val="28"/>
    </w:rPr>
  </w:style>
  <w:style w:type="character" w:styleId="Style10">
    <w:name w:val="Верхний колонтитул Знак"/>
    <w:qFormat/>
    <w:rPr>
      <w:i/>
    </w:rPr>
  </w:style>
  <w:style w:type="character" w:styleId="Style11">
    <w:name w:val="Знак примечания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spacing w:lineRule="auto" w:line="240"/>
      <w:ind w:hanging="0" w:start="0" w:end="0"/>
      <w:jc w:val="center"/>
    </w:pPr>
    <w:rPr>
      <w:lang w:val="en-US"/>
    </w:rPr>
  </w:style>
  <w:style w:type="paragraph" w:styleId="BodyText">
    <w:name w:val="Body Text"/>
    <w:basedOn w:val="Normal"/>
    <w:pPr>
      <w:tabs>
        <w:tab w:val="clear" w:pos="567"/>
        <w:tab w:val="right" w:pos="9360" w:leader="none"/>
      </w:tabs>
      <w:spacing w:lineRule="auto" w:line="240"/>
      <w:ind w:hanging="0" w:start="0" w:end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56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4" w:space="1" w:color="000000"/>
      </w:pBdr>
      <w:tabs>
        <w:tab w:val="clear" w:pos="567"/>
        <w:tab w:val="center" w:pos="4153" w:leader="none"/>
        <w:tab w:val="right" w:pos="8306" w:leader="none"/>
      </w:tabs>
      <w:spacing w:lineRule="auto" w:line="240"/>
      <w:ind w:hanging="0" w:start="0" w:end="0"/>
      <w:jc w:val="center"/>
    </w:pPr>
    <w:rPr>
      <w:i/>
      <w:sz w:val="20"/>
      <w:lang w:val="en-US"/>
    </w:rPr>
  </w:style>
  <w:style w:type="paragraph" w:styleId="Footer">
    <w:name w:val="footer"/>
    <w:basedOn w:val="Normal"/>
    <w:pPr>
      <w:tabs>
        <w:tab w:val="clear" w:pos="567"/>
        <w:tab w:val="center" w:pos="4253" w:leader="none"/>
        <w:tab w:val="right" w:pos="9356" w:leader="none"/>
      </w:tabs>
      <w:spacing w:lineRule="auto" w:line="240"/>
      <w:ind w:hanging="0" w:start="0" w:end="0"/>
    </w:pPr>
    <w:rPr>
      <w:sz w:val="20"/>
    </w:rPr>
  </w:style>
  <w:style w:type="paragraph" w:styleId="TOC1">
    <w:name w:val="toc 1"/>
    <w:basedOn w:val="Normal"/>
    <w:next w:val="Normal"/>
    <w:pPr>
      <w:tabs>
        <w:tab w:val="clear" w:pos="567"/>
        <w:tab w:val="left" w:pos="540" w:leader="none"/>
        <w:tab w:val="right" w:pos="10195" w:leader="dot"/>
      </w:tabs>
      <w:spacing w:lineRule="auto" w:line="240" w:before="240" w:after="120"/>
      <w:ind w:hanging="539" w:start="539" w:end="1134"/>
      <w:jc w:val="start"/>
    </w:pPr>
    <w:rPr>
      <w:b/>
      <w:bCs/>
      <w:caps/>
      <w:szCs w:val="28"/>
      <w:lang w:val="en-US" w:eastAsia="en-US"/>
    </w:rPr>
  </w:style>
  <w:style w:type="paragraph" w:styleId="TOC2">
    <w:name w:val="toc 2"/>
    <w:basedOn w:val="Normal"/>
    <w:next w:val="Normal"/>
    <w:pPr>
      <w:tabs>
        <w:tab w:val="clear" w:pos="567"/>
        <w:tab w:val="left" w:pos="1080" w:leader="none"/>
        <w:tab w:val="right" w:pos="10195" w:leader="dot"/>
      </w:tabs>
      <w:spacing w:lineRule="auto" w:line="240" w:before="120" w:after="120"/>
      <w:ind w:hanging="594" w:start="1134" w:end="1134"/>
      <w:jc w:val="start"/>
    </w:pPr>
    <w:rPr>
      <w:b/>
      <w:sz w:val="24"/>
      <w:szCs w:val="24"/>
      <w:lang w:val="en-US" w:eastAsia="en-US"/>
    </w:rPr>
  </w:style>
  <w:style w:type="paragraph" w:styleId="TOC3">
    <w:name w:val="toc 3"/>
    <w:basedOn w:val="Normal"/>
    <w:next w:val="Normal"/>
    <w:pPr>
      <w:tabs>
        <w:tab w:val="clear" w:pos="567"/>
        <w:tab w:val="left" w:pos="1980" w:leader="none"/>
        <w:tab w:val="right" w:pos="10195" w:leader="dot"/>
      </w:tabs>
      <w:spacing w:lineRule="auto" w:line="240" w:before="0" w:after="120"/>
      <w:ind w:hanging="902" w:start="1979" w:end="1134"/>
      <w:jc w:val="start"/>
    </w:pPr>
    <w:rPr>
      <w:iCs/>
      <w:sz w:val="24"/>
      <w:szCs w:val="24"/>
      <w:lang w:val="en-US" w:eastAsia="en-US"/>
    </w:rPr>
  </w:style>
  <w:style w:type="paragraph" w:styleId="TOC4">
    <w:name w:val="toc 4"/>
    <w:basedOn w:val="Normal"/>
    <w:next w:val="Normal"/>
    <w:pPr>
      <w:tabs>
        <w:tab w:val="clear" w:pos="567"/>
        <w:tab w:val="left" w:pos="2268" w:leader="none"/>
        <w:tab w:val="right" w:pos="10195" w:leader="dot"/>
      </w:tabs>
      <w:spacing w:lineRule="auto" w:line="240" w:before="0" w:after="60"/>
      <w:ind w:hanging="567" w:start="2268" w:end="1134"/>
      <w:jc w:val="start"/>
    </w:pPr>
    <w:rPr>
      <w:sz w:val="24"/>
      <w:szCs w:val="24"/>
    </w:rPr>
  </w:style>
  <w:style w:type="paragraph" w:styleId="Style1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</w:rPr>
  </w:style>
  <w:style w:type="paragraph" w:styleId="Style13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Style14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5">
    <w:name w:val="Название объекта"/>
    <w:basedOn w:val="Normal"/>
    <w:next w:val="Normal"/>
    <w:qFormat/>
    <w:pPr>
      <w:pageBreakBefore/>
      <w:suppressAutoHyphens w:val="true"/>
      <w:spacing w:lineRule="auto" w:line="240" w:before="120" w:after="120"/>
      <w:ind w:hanging="0" w:start="0" w:end="0"/>
    </w:pPr>
    <w:rPr>
      <w:bCs/>
      <w:i/>
      <w:sz w:val="24"/>
    </w:rPr>
  </w:style>
  <w:style w:type="paragraph" w:styleId="TOC5">
    <w:name w:val="toc 5"/>
    <w:basedOn w:val="Normal"/>
    <w:next w:val="Normal"/>
    <w:pPr>
      <w:ind w:firstLine="567" w:start="112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firstLine="567" w:start="1400" w:end="0"/>
      <w:jc w:val="start"/>
    </w:pPr>
    <w:rPr>
      <w:sz w:val="18"/>
      <w:szCs w:val="18"/>
    </w:rPr>
  </w:style>
  <w:style w:type="paragraph" w:styleId="TOC7">
    <w:name w:val="toc 7"/>
    <w:basedOn w:val="Normal"/>
    <w:next w:val="Normal"/>
    <w:pPr>
      <w:ind w:firstLine="567" w:start="1680" w:end="0"/>
      <w:jc w:val="start"/>
    </w:pPr>
    <w:rPr>
      <w:sz w:val="18"/>
      <w:szCs w:val="18"/>
    </w:rPr>
  </w:style>
  <w:style w:type="paragraph" w:styleId="TOC8">
    <w:name w:val="toc 8"/>
    <w:basedOn w:val="Normal"/>
    <w:next w:val="Normal"/>
    <w:pPr>
      <w:ind w:firstLine="567" w:start="1960" w:end="0"/>
      <w:jc w:val="start"/>
    </w:pPr>
    <w:rPr>
      <w:sz w:val="18"/>
      <w:szCs w:val="18"/>
    </w:rPr>
  </w:style>
  <w:style w:type="paragraph" w:styleId="TOC9">
    <w:name w:val="toc 9"/>
    <w:basedOn w:val="Normal"/>
    <w:next w:val="Normal"/>
    <w:pPr>
      <w:ind w:firstLine="567" w:start="2240" w:end="0"/>
      <w:jc w:val="start"/>
    </w:pPr>
    <w:rPr>
      <w:sz w:val="18"/>
      <w:szCs w:val="18"/>
    </w:rPr>
  </w:style>
  <w:style w:type="paragraph" w:styleId="Style16">
    <w:name w:val="Структура"/>
    <w:basedOn w:val="Normal"/>
    <w:qFormat/>
    <w:pPr>
      <w:pageBreakBefore/>
      <w:pBdr>
        <w:bottom w:val="thinThickSmallGap" w:sz="24" w:space="1" w:color="000000"/>
      </w:pBdr>
      <w:tabs>
        <w:tab w:val="clear" w:pos="567"/>
        <w:tab w:val="left" w:pos="851" w:leader="none"/>
      </w:tabs>
      <w:suppressAutoHyphens w:val="true"/>
      <w:spacing w:lineRule="auto" w:line="240" w:before="480" w:after="240"/>
      <w:ind w:hanging="0" w:start="0" w:end="2835"/>
      <w:jc w:val="start"/>
      <w:outlineLvl w:val="0"/>
    </w:pPr>
    <w:rPr>
      <w:rFonts w:ascii="Arial" w:hAnsi="Arial" w:cs="Arial"/>
      <w:b/>
      <w:caps/>
      <w:sz w:val="36"/>
      <w:szCs w:val="36"/>
    </w:rPr>
  </w:style>
  <w:style w:type="paragraph" w:styleId="Style17">
    <w:name w:val="Главы"/>
    <w:basedOn w:val="Style16"/>
    <w:next w:val="Normal"/>
    <w:qFormat/>
    <w:pPr>
      <w:numPr>
        <w:ilvl w:val="0"/>
        <w:numId w:val="0"/>
      </w:numPr>
      <w:pBdr>
        <w:bottom w:val="nil"/>
      </w:pBdr>
      <w:spacing w:lineRule="auto" w:line="360" w:before="1440" w:after="720"/>
      <w:ind w:hanging="0" w:start="0" w:end="0"/>
      <w:jc w:val="center"/>
    </w:pPr>
    <w:rPr>
      <w:spacing w:val="40"/>
      <w:sz w:val="44"/>
      <w:szCs w:val="44"/>
    </w:rPr>
  </w:style>
  <w:style w:type="paragraph" w:styleId="Style18">
    <w:name w:val="Служебный"/>
    <w:basedOn w:val="Style17"/>
    <w:qFormat/>
    <w:pPr>
      <w:numPr>
        <w:ilvl w:val="0"/>
        <w:numId w:val="0"/>
      </w:numPr>
      <w:ind w:hanging="0" w:start="0" w:end="0"/>
    </w:pPr>
    <w:rPr/>
  </w:style>
  <w:style w:type="paragraph" w:styleId="Style19">
    <w:name w:val="маркированный"/>
    <w:basedOn w:val="Normal"/>
    <w:qFormat/>
    <w:pPr>
      <w:ind w:hanging="0" w:start="0" w:end="0"/>
    </w:pPr>
    <w:rPr/>
  </w:style>
  <w:style w:type="paragraph" w:styleId="Style20">
    <w:name w:val="Пункт"/>
    <w:basedOn w:val="Normal"/>
    <w:qFormat/>
    <w:pPr>
      <w:numPr>
        <w:ilvl w:val="0"/>
        <w:numId w:val="6"/>
      </w:numPr>
    </w:pPr>
    <w:rPr/>
  </w:style>
  <w:style w:type="paragraph" w:styleId="Style21">
    <w:name w:val="Подпункт"/>
    <w:basedOn w:val="Normal"/>
    <w:qFormat/>
    <w:pPr>
      <w:tabs>
        <w:tab w:val="clear" w:pos="567"/>
        <w:tab w:val="left" w:pos="1134" w:leader="none"/>
      </w:tabs>
      <w:ind w:hanging="1134" w:start="1134" w:end="0"/>
    </w:pPr>
    <w:rPr/>
  </w:style>
  <w:style w:type="paragraph" w:styleId="-2">
    <w:name w:val="Пункт-2"/>
    <w:basedOn w:val="Style20"/>
    <w:qFormat/>
    <w:pPr>
      <w:keepNext w:val="true"/>
      <w:outlineLvl w:val="2"/>
    </w:pPr>
    <w:rPr>
      <w:b/>
    </w:rPr>
  </w:style>
  <w:style w:type="paragraph" w:styleId="Style22">
    <w:name w:val="Подподпункт"/>
    <w:basedOn w:val="Normal"/>
    <w:qFormat/>
    <w:pPr>
      <w:numPr>
        <w:ilvl w:val="0"/>
        <w:numId w:val="6"/>
      </w:numPr>
    </w:pPr>
    <w:rPr/>
  </w:style>
  <w:style w:type="paragraph" w:styleId="Style23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4">
    <w:name w:val="Текст таблицы"/>
    <w:basedOn w:val="Normal"/>
    <w:qFormat/>
    <w:pPr>
      <w:spacing w:lineRule="auto" w:line="240" w:before="40" w:after="40"/>
      <w:ind w:hanging="0" w:start="57" w:end="57"/>
      <w:jc w:val="start"/>
    </w:pPr>
    <w:rPr>
      <w:sz w:val="24"/>
      <w:szCs w:val="24"/>
    </w:rPr>
  </w:style>
  <w:style w:type="paragraph" w:styleId="Style25">
    <w:name w:val="Пункт б/н"/>
    <w:basedOn w:val="Normal"/>
    <w:qFormat/>
    <w:pPr>
      <w:tabs>
        <w:tab w:val="clear" w:pos="567"/>
        <w:tab w:val="left" w:pos="1134" w:leader="none"/>
      </w:tabs>
    </w:pPr>
    <w:rPr/>
  </w:style>
  <w:style w:type="paragraph" w:styleId="Style26">
    <w:name w:val="Маркированный список"/>
    <w:basedOn w:val="Normal"/>
    <w:qFormat/>
    <w:pPr>
      <w:spacing w:lineRule="auto" w:line="240"/>
      <w:ind w:hanging="374" w:start="731" w:end="0"/>
    </w:pPr>
    <w:rPr/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8">
    <w:name w:val="Текст примечания"/>
    <w:basedOn w:val="Normal"/>
    <w:qFormat/>
    <w:pPr/>
    <w:rPr>
      <w:sz w:val="20"/>
    </w:rPr>
  </w:style>
  <w:style w:type="paragraph" w:styleId="Style29">
    <w:name w:val="Тема примечания"/>
    <w:basedOn w:val="Style28"/>
    <w:next w:val="Style28"/>
    <w:qFormat/>
    <w:pPr/>
    <w:rPr>
      <w:b/>
      <w:bCs/>
    </w:rPr>
  </w:style>
  <w:style w:type="paragraph" w:styleId="3">
    <w:name w:val="Маркированный список 3"/>
    <w:basedOn w:val="Normal"/>
    <w:qFormat/>
    <w:pPr>
      <w:numPr>
        <w:ilvl w:val="0"/>
        <w:numId w:val="2"/>
      </w:numPr>
      <w:tabs>
        <w:tab w:val="clear" w:pos="567"/>
        <w:tab w:val="left" w:pos="1080" w:leader="none"/>
      </w:tabs>
      <w:spacing w:before="120" w:after="0"/>
      <w:ind w:firstLine="720" w:start="0" w:end="0"/>
    </w:pPr>
    <w:rPr>
      <w:i/>
      <w:iCs/>
      <w:sz w:val="24"/>
      <w:szCs w:val="24"/>
    </w:rPr>
  </w:style>
  <w:style w:type="paragraph" w:styleId="2">
    <w:name w:val="Маркированный список 2"/>
    <w:basedOn w:val="Normal"/>
    <w:qFormat/>
    <w:pPr>
      <w:widowControl w:val="false"/>
      <w:numPr>
        <w:ilvl w:val="0"/>
        <w:numId w:val="7"/>
      </w:numPr>
      <w:spacing w:before="120" w:after="0"/>
      <w:ind w:hanging="357" w:start="1429" w:end="0"/>
    </w:pPr>
    <w:rPr/>
  </w:style>
  <w:style w:type="paragraph" w:styleId="21">
    <w:name w:val="Основной текст 2"/>
    <w:basedOn w:val="Normal"/>
    <w:qFormat/>
    <w:pPr>
      <w:tabs>
        <w:tab w:val="clear" w:pos="567"/>
        <w:tab w:val="left" w:pos="2201" w:leader="none"/>
      </w:tabs>
      <w:spacing w:lineRule="auto" w:line="240"/>
      <w:ind w:hanging="0" w:start="0" w:end="0"/>
      <w:jc w:val="center"/>
    </w:pPr>
    <w:rPr>
      <w:kern w:val="2"/>
    </w:rPr>
  </w:style>
  <w:style w:type="paragraph" w:styleId="BodyTextIndent">
    <w:name w:val="Body Text Indent"/>
    <w:basedOn w:val="Normal"/>
    <w:pPr>
      <w:spacing w:lineRule="auto" w:line="240"/>
    </w:pPr>
    <w:rPr>
      <w:i/>
    </w:rPr>
  </w:style>
  <w:style w:type="paragraph" w:styleId="22">
    <w:name w:val="Основной текст с отступом 2"/>
    <w:basedOn w:val="Normal"/>
    <w:qFormat/>
    <w:pPr>
      <w:spacing w:lineRule="auto" w:line="240"/>
    </w:pPr>
    <w:rPr>
      <w:szCs w:val="24"/>
    </w:rPr>
  </w:style>
  <w:style w:type="paragraph" w:styleId="11">
    <w:name w:val="Стиль Заголовок 1 + по ширине"/>
    <w:basedOn w:val="Heading1"/>
    <w:qFormat/>
    <w:pPr>
      <w:pageBreakBefore w:val="false"/>
      <w:numPr>
        <w:ilvl w:val="0"/>
        <w:numId w:val="5"/>
      </w:numPr>
      <w:jc w:val="both"/>
    </w:pPr>
    <w:rPr>
      <w:bCs/>
    </w:rPr>
  </w:style>
  <w:style w:type="paragraph" w:styleId="31">
    <w:name w:val="заголовок 3"/>
    <w:basedOn w:val="Normal"/>
    <w:next w:val="Normal"/>
    <w:qFormat/>
    <w:pPr>
      <w:keepNext w:val="true"/>
      <w:autoSpaceDE w:val="false"/>
      <w:spacing w:before="120" w:after="0"/>
      <w:ind w:firstLine="720" w:start="0" w:end="0"/>
      <w:jc w:val="center"/>
      <w:outlineLvl w:val="2"/>
    </w:pPr>
    <w:rPr>
      <w:sz w:val="20"/>
      <w:szCs w:val="24"/>
    </w:rPr>
  </w:style>
  <w:style w:type="paragraph" w:styleId="Style30">
    <w:name w:val="Обычный+ без отступа"/>
    <w:basedOn w:val="Normal"/>
    <w:qFormat/>
    <w:pPr>
      <w:autoSpaceDE w:val="false"/>
      <w:spacing w:before="120" w:after="0"/>
      <w:ind w:hanging="0" w:start="0" w:end="0"/>
    </w:pPr>
    <w:rPr>
      <w:rFonts w:eastAsia="MS Mincho;ＭＳ 明朝"/>
      <w:szCs w:val="28"/>
    </w:rPr>
  </w:style>
  <w:style w:type="paragraph" w:styleId="Style31">
    <w:name w:val="Приложение"/>
    <w:basedOn w:val="Heading1"/>
    <w:qFormat/>
    <w:pPr>
      <w:pageBreakBefore w:val="false"/>
      <w:numPr>
        <w:ilvl w:val="0"/>
        <w:numId w:val="0"/>
      </w:numPr>
      <w:spacing w:lineRule="auto" w:line="360" w:before="60" w:after="0"/>
      <w:ind w:hanging="0" w:start="0" w:end="0"/>
      <w:jc w:val="center"/>
    </w:pPr>
    <w:rPr>
      <w:rFonts w:cs="Arial"/>
      <w:bCs/>
      <w:kern w:val="0"/>
      <w:sz w:val="28"/>
      <w:szCs w:val="28"/>
    </w:rPr>
  </w:style>
  <w:style w:type="paragraph" w:styleId="Style32">
    <w:name w:val="Подподподпункт"/>
    <w:basedOn w:val="Normal"/>
    <w:qFormat/>
    <w:pPr>
      <w:tabs>
        <w:tab w:val="clear" w:pos="567"/>
        <w:tab w:val="left" w:pos="1134" w:leader="none"/>
        <w:tab w:val="left" w:pos="1701" w:leader="none"/>
        <w:tab w:val="left" w:pos="2448" w:leader="none"/>
      </w:tabs>
      <w:ind w:hanging="1008" w:start="2448" w:end="0"/>
    </w:pPr>
    <w:rPr/>
  </w:style>
  <w:style w:type="paragraph" w:styleId="12">
    <w:name w:val="Пункт1"/>
    <w:basedOn w:val="Normal"/>
    <w:qFormat/>
    <w:pPr>
      <w:numPr>
        <w:ilvl w:val="0"/>
        <w:numId w:val="5"/>
      </w:numPr>
      <w:spacing w:before="240" w:after="0"/>
      <w:jc w:val="center"/>
    </w:pPr>
    <w:rPr>
      <w:rFonts w:ascii="Arial" w:hAnsi="Arial" w:cs="Arial"/>
      <w:b/>
      <w:szCs w:val="28"/>
    </w:rPr>
  </w:style>
  <w:style w:type="paragraph" w:styleId="32">
    <w:name w:val="Основной текст с отступом 3"/>
    <w:basedOn w:val="Normal"/>
    <w:qFormat/>
    <w:pPr>
      <w:spacing w:lineRule="auto" w:line="240"/>
    </w:pPr>
    <w:rPr>
      <w:i/>
      <w:sz w:val="26"/>
      <w:szCs w:val="26"/>
    </w:rPr>
  </w:style>
  <w:style w:type="paragraph" w:styleId="Style33">
    <w:name w:val="Знак Знак Знак Знак Знак Знак"/>
    <w:basedOn w:val="Normal"/>
    <w:next w:val="Heading1"/>
    <w:qFormat/>
    <w:pPr>
      <w:spacing w:lineRule="exact" w:line="240" w:before="0" w:after="160"/>
      <w:ind w:hanging="0" w:start="0" w:end="0"/>
    </w:pPr>
    <w:rPr>
      <w:rFonts w:ascii="Verdana" w:hAnsi="Verdana" w:cs="Verdana"/>
      <w:sz w:val="20"/>
      <w:lang w:val="en-US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CharChar">
    <w:name w:val="Char Char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34">
    <w:name w:val="Абзац списка"/>
    <w:basedOn w:val="Normal"/>
    <w:qFormat/>
    <w:pPr>
      <w:ind w:firstLine="567" w:start="708" w:end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 w:start="0" w:end="0"/>
      <w:jc w:val="start"/>
    </w:pPr>
    <w:rPr>
      <w:sz w:val="20"/>
    </w:rPr>
  </w:style>
  <w:style w:type="paragraph" w:styleId="Style35">
    <w:name w:val="[Основной абзац]"/>
    <w:basedOn w:val="Normal"/>
    <w:qFormat/>
    <w:pPr>
      <w:widowControl w:val="false"/>
      <w:autoSpaceDE w:val="false"/>
      <w:spacing w:lineRule="auto" w:line="288"/>
      <w:ind w:hanging="0" w:start="0" w:end="0"/>
      <w:jc w:val="start"/>
      <w:textAlignment w:val="center"/>
    </w:pPr>
    <w:rPr>
      <w:rFonts w:ascii="MinionPro-Regular;Times New Roman" w:hAnsi="MinionPro-Regular;Times New Roman" w:eastAsia="Cambria" w:cs="MinionPro-Regular;Times New Roman"/>
      <w:color w:val="000000"/>
      <w:sz w:val="24"/>
      <w:szCs w:val="24"/>
    </w:rPr>
  </w:style>
  <w:style w:type="paragraph" w:styleId="Style36">
    <w:name w:val="Обычный (веб)"/>
    <w:basedOn w:val="Normal"/>
    <w:qFormat/>
    <w:pPr>
      <w:spacing w:lineRule="auto" w:line="240" w:before="100" w:after="100"/>
      <w:ind w:hanging="0" w:start="0" w:end="0"/>
      <w:jc w:val="start"/>
    </w:pPr>
    <w:rPr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zakupki.gov.ru/" TargetMode="External"/><Relationship Id="rId4" Type="http://schemas.openxmlformats.org/officeDocument/2006/relationships/hyperlink" Target="http://www.tender.lot-online.ru/" TargetMode="External"/><Relationship Id="rId5" Type="http://schemas.openxmlformats.org/officeDocument/2006/relationships/hyperlink" Target="http://www.tender.lot-online.ru/" TargetMode="Externa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2021-08-03T12:01:00Z</dcterms:created>
  <dc:creator>С.Б.Дашков</dc:creator>
  <dc:description/>
  <cp:keywords/>
  <dc:language>en-US</dc:language>
  <cp:lastModifiedBy>Коренько Ирина Вадимовна</cp:lastModifiedBy>
  <cp:lastPrinted>2019-02-27T09:52:00Z</cp:lastPrinted>
  <dcterms:modified xsi:type="dcterms:W3CDTF">2025-12-15T05:34:00Z</dcterms:modified>
  <cp:revision>60</cp:revision>
  <dc:subject/>
  <dc:title>Типовая закупочная документация</dc:title>
</cp:coreProperties>
</file>