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Default Extension="fntdata" ContentType="application/x-fontdata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messagecaption"/>
        <w:bidi w:val="0"/>
        <w:spacing w:lineRule="atLeast" w:line="0"/>
        <w:jc w:val="center"/>
        <w:rPr/>
      </w:pPr>
      <w:r>
        <w:rPr/>
        <w:t>ПРОТОКОЛ ПОДВЕДЕНИЯ ИТОГОВ</w:t>
      </w:r>
    </w:p>
    <w:p>
      <w:pPr>
        <w:pStyle w:val="centered"/>
        <w:bidi w:val="0"/>
        <w:rPr>
          <w:b/>
          <w:i w:val="false"/>
          <w:i w:val="false"/>
          <w:u w:val="none"/>
        </w:rPr>
      </w:pPr>
      <w:r>
        <w:rPr>
          <w:b/>
          <w:i w:val="false"/>
          <w:u w:val="none"/>
        </w:rPr>
        <w:t>(в редакции № 1)</w:t>
      </w:r>
    </w:p>
    <w:p>
      <w:pPr>
        <w:pStyle w:val="messagesubcaption"/>
        <w:bidi w:val="0"/>
        <w:jc w:val="center"/>
        <w:rPr/>
      </w:pPr>
      <w:r>
        <w:rPr/>
        <w:t>                                                                                          </w:t>
      </w:r>
      <w:r>
        <w:rPr/>
        <w:t>12 декабря 2025 года</w:t>
      </w:r>
    </w:p>
    <w:p>
      <w:pPr>
        <w:pStyle w:val="text"/>
        <w:bidi w:val="0"/>
        <w:spacing w:lineRule="auto" w:line="240"/>
        <w:jc w:val="start"/>
        <w:rPr/>
      </w:pPr>
      <w:r>
        <w:rPr/>
      </w:r>
    </w:p>
    <w:p>
      <w:pPr>
        <w:pStyle w:val="variable"/>
        <w:bidi w:val="0"/>
        <w:jc w:val="start"/>
        <w:rPr/>
      </w:pPr>
      <w:r>
        <w:rPr/>
        <w:t>Номер процедуры:</w:t>
      </w:r>
      <w:r>
        <w:rPr>
          <w:b w:val="false"/>
          <w:i w:val="false"/>
          <w:u w:val="none"/>
        </w:rPr>
        <w:t xml:space="preserve"> 0218325031DP</w:t>
      </w:r>
    </w:p>
    <w:p>
      <w:pPr>
        <w:pStyle w:val="variable"/>
        <w:bidi w:val="0"/>
        <w:jc w:val="start"/>
        <w:rPr/>
      </w:pPr>
      <w:r>
        <w:rPr/>
        <w:t>Реестровый номер (ЕИС):</w:t>
      </w:r>
      <w:r>
        <w:rPr>
          <w:b w:val="false"/>
          <w:i w:val="false"/>
          <w:u w:val="none"/>
        </w:rPr>
        <w:t xml:space="preserve"> 32515494379</w:t>
      </w:r>
    </w:p>
    <w:p>
      <w:pPr>
        <w:pStyle w:val="text"/>
        <w:bidi w:val="0"/>
        <w:spacing w:lineRule="auto" w:line="240"/>
        <w:jc w:val="start"/>
        <w:rPr/>
      </w:pPr>
      <w:r>
        <w:rPr/>
      </w:r>
    </w:p>
    <w:p>
      <w:pPr>
        <w:pStyle w:val="centered"/>
        <w:bidi w:val="0"/>
        <w:rPr>
          <w:b/>
          <w:i w:val="false"/>
          <w:i w:val="false"/>
          <w:u w:val="none"/>
        </w:rPr>
      </w:pPr>
      <w:r>
        <w:rPr>
          <w:b/>
          <w:i w:val="false"/>
          <w:u w:val="none"/>
        </w:rPr>
        <w:t>I. Общие положения</w:t>
      </w:r>
    </w:p>
    <w:p>
      <w:pPr>
        <w:pStyle w:val="variable"/>
        <w:bidi w:val="0"/>
        <w:jc w:val="start"/>
        <w:rPr/>
      </w:pPr>
      <w:r>
        <w:rPr/>
        <w:t>Способ закупки:</w:t>
      </w:r>
      <w:r>
        <w:rPr>
          <w:b w:val="false"/>
          <w:i w:val="false"/>
          <w:u w:val="none"/>
        </w:rPr>
        <w:t xml:space="preserve"> Иной способ, установленный Заказчиком в положении о закупке и не соответствующий требованиям части 3 статьи 3 Закона №223-ФЗ, участниками которого могут быть только субъекты малого и среднего предпринимательства.</w:t>
      </w:r>
    </w:p>
    <w:p>
      <w:pPr>
        <w:pStyle w:val="variable"/>
        <w:bidi w:val="0"/>
        <w:jc w:val="start"/>
        <w:rPr/>
      </w:pPr>
      <w:r>
        <w:rPr/>
        <w:t>Сведения об организаторе:</w:t>
      </w:r>
      <w:r>
        <w:rPr>
          <w:b w:val="false"/>
          <w:i w:val="false"/>
          <w:u w:val="none"/>
        </w:rPr>
        <w:t xml:space="preserve"> МУНИЦИПАЛЬНОЕ АВТОНОМНОЕ ДОШКОЛЬНОЕ ОБРАЗОВАТЕЛЬНОЕ УЧРЕЖДЕНИЕ ГОРОДА КОГАЛЫМА "БЕРЕЗКА" (ИНН: 8608040749, КПП: 860801001, ОГРН: 1028601443529).</w:t>
      </w:r>
    </w:p>
    <w:p>
      <w:pPr>
        <w:pStyle w:val="text"/>
        <w:bidi w:val="0"/>
        <w:spacing w:lineRule="auto" w:line="240"/>
        <w:jc w:val="start"/>
        <w:rPr/>
      </w:pPr>
      <w:r>
        <w:rPr/>
        <w:t>Место нахождения: 628482, АВТОНОМНЫЙ ОКРУГ ХАНТЫ-МАНСИЙСКИЙ АВТОНОМНЫЙ ОКРУГ - ЮГРА, Г. КОГАЛЫМ, УЛ. НАБЕРЕЖНАЯ, Д.6.</w:t>
      </w:r>
    </w:p>
    <w:p>
      <w:pPr>
        <w:pStyle w:val="text"/>
        <w:bidi w:val="0"/>
        <w:spacing w:lineRule="auto" w:line="240"/>
        <w:jc w:val="start"/>
        <w:rPr/>
      </w:pPr>
      <w:r>
        <w:rPr/>
        <w:t>Почтовый адрес: 628482, АВТОНОМНЫЙ ОКРУГ ХАНТЫ-МАНСИЙСКИЙ АВТОНОМНЫЙ ОКРУГ - ЮГРА, Г. КОГАЛЫМ, УЛ. НАБЕРЕЖНАЯ, Д.6.</w:t>
      </w:r>
    </w:p>
    <w:p>
      <w:pPr>
        <w:pStyle w:val="variable"/>
        <w:bidi w:val="0"/>
        <w:jc w:val="start"/>
        <w:rPr/>
      </w:pPr>
      <w:r>
        <w:rPr/>
        <w:t>Сведения о заказчике:</w:t>
      </w:r>
      <w:r>
        <w:rPr>
          <w:b w:val="false"/>
          <w:i w:val="false"/>
          <w:u w:val="none"/>
        </w:rPr>
        <w:t xml:space="preserve"> МУНИЦИПАЛЬНОЕ АВТОНОМНОЕ ДОШКОЛЬНОЕ ОБРАЗОВАТЕЛЬНОЕ УЧРЕЖДЕНИЕ ГОРОДА КОГАЛЫМА "БЕРЕЗКА" (ИНН: 8608040749, КПП: 860801001, ОГРН: 1028601443529).</w:t>
      </w:r>
    </w:p>
    <w:p>
      <w:pPr>
        <w:pStyle w:val="text"/>
        <w:bidi w:val="0"/>
        <w:spacing w:lineRule="auto" w:line="240"/>
        <w:jc w:val="start"/>
        <w:rPr/>
      </w:pPr>
      <w:r>
        <w:rPr/>
        <w:t>Место нахождения: 628482, АВТОНОМНЫЙ ОКРУГ ХАНТЫ-МАНСИЙСКИЙ АВТОНОМНЫЙ ОКРУГ - ЮГРА, Г. КОГАЛЫМ, УЛ. НАБЕРЕЖНАЯ, Д.6.</w:t>
      </w:r>
    </w:p>
    <w:p>
      <w:pPr>
        <w:pStyle w:val="text"/>
        <w:bidi w:val="0"/>
        <w:spacing w:lineRule="auto" w:line="240"/>
        <w:jc w:val="start"/>
        <w:rPr/>
      </w:pPr>
      <w:r>
        <w:rPr/>
        <w:t>Почтовый адрес: 628482, АВТОНОМНЫЙ ОКРУГ ХАНТЫ-МАНСИЙСКИЙ АВТОНОМНЫЙ ОКРУГ - ЮГРА, Г. КОГАЛЫМ, УЛ. НАБЕРЕЖНАЯ, Д.6.</w:t>
      </w:r>
    </w:p>
    <w:p>
      <w:pPr>
        <w:pStyle w:val="variable"/>
        <w:bidi w:val="0"/>
        <w:jc w:val="start"/>
        <w:rPr/>
      </w:pPr>
      <w:r>
        <w:rPr/>
        <w:t>Контактная информация:</w:t>
      </w:r>
      <w:r>
        <w:rPr>
          <w:b w:val="false"/>
          <w:i w:val="false"/>
          <w:u w:val="none"/>
        </w:rPr>
        <w:t xml:space="preserve"> Юлмухаметова А. В., тел.: 8 (34667) 4-73-54, e-mail: bygalter_berezka2016@list.ru</w:t>
      </w:r>
    </w:p>
    <w:p>
      <w:pPr>
        <w:pStyle w:val="variable"/>
        <w:bidi w:val="0"/>
        <w:jc w:val="start"/>
        <w:rPr/>
      </w:pPr>
      <w:r>
        <w:rPr/>
        <w:t>Сведения об операторе электронной площадки:</w:t>
      </w:r>
      <w:r>
        <w:rPr>
          <w:b w:val="false"/>
          <w:i w:val="false"/>
          <w:u w:val="none"/>
        </w:rPr>
        <w:t xml:space="preserve"> ООО «ТОРГИ-ОНЛАЙН» (ИНН: 0276944133, КПП: 027601001, ОГРН: 1190280048419).</w:t>
      </w:r>
    </w:p>
    <w:p>
      <w:pPr>
        <w:pStyle w:val="text"/>
        <w:bidi w:val="0"/>
        <w:spacing w:lineRule="auto" w:line="240"/>
        <w:jc w:val="start"/>
        <w:rPr/>
      </w:pPr>
      <w:r>
        <w:rPr/>
        <w:t>Юридический адрес: 450022 г. Уфа, улица Менделеева, 134/7</w:t>
      </w:r>
    </w:p>
    <w:p>
      <w:pPr>
        <w:pStyle w:val="text"/>
        <w:bidi w:val="0"/>
        <w:spacing w:lineRule="auto" w:line="240"/>
        <w:jc w:val="start"/>
        <w:rPr/>
      </w:pPr>
      <w:r>
        <w:rPr/>
        <w:t>Почтовый адрес: 450022 г. Уфа, улица Менделеева, 134/7 офис 424</w:t>
      </w:r>
    </w:p>
    <w:p>
      <w:pPr>
        <w:pStyle w:val="text"/>
        <w:bidi w:val="0"/>
        <w:spacing w:lineRule="auto" w:line="240"/>
        <w:jc w:val="start"/>
        <w:rPr/>
      </w:pPr>
      <w:r>
        <w:rPr/>
        <w:t>Техническая поддержка: тел.: 8 (800) 250-15-35, эл. почта: info@torgi-online.com</w:t>
      </w:r>
    </w:p>
    <w:p>
      <w:pPr>
        <w:pStyle w:val="variable"/>
        <w:bidi w:val="0"/>
        <w:jc w:val="start"/>
        <w:rPr/>
      </w:pPr>
      <w:r>
        <w:rPr/>
        <w:t>Наименование закупки:</w:t>
      </w:r>
      <w:r>
        <w:rPr>
          <w:b w:val="false"/>
          <w:i w:val="false"/>
          <w:u w:val="none"/>
        </w:rPr>
        <w:t xml:space="preserve"> Поставка продуктов питания (мясо, субпродукты)</w:t>
      </w:r>
    </w:p>
    <w:p>
      <w:pPr>
        <w:pStyle w:val="variable"/>
        <w:bidi w:val="0"/>
        <w:jc w:val="start"/>
        <w:rPr/>
      </w:pPr>
      <w:r>
        <w:rPr/>
        <w:t>Предмет договора (лота):</w:t>
      </w:r>
      <w:r>
        <w:rPr>
          <w:b w:val="false"/>
          <w:i w:val="false"/>
          <w:u w:val="none"/>
        </w:rPr>
        <w:t xml:space="preserve"> Поставка продуктов питания (мясо, субпродукты).</w:t>
      </w:r>
    </w:p>
    <w:p>
      <w:pPr>
        <w:pStyle w:val="Normal"/>
        <w:bidi w:val="0"/>
        <w:jc w:val="start"/>
        <w:rPr>
          <w:b/>
          <w:i w:val="false"/>
          <w:i w:val="false"/>
          <w:sz w:val="24"/>
          <w:u w:val="none"/>
        </w:rPr>
      </w:pPr>
      <w:r>
        <w:rPr>
          <w:b/>
          <w:i w:val="false"/>
          <w:sz w:val="24"/>
          <w:u w:val="none"/>
        </w:rPr>
        <w:t>Классификация товаров, работ, услуг:</w:t>
      </w:r>
    </w:p>
    <w:tbl>
      <w:tblPr>
        <w:tblW w:w="5000" w:type="pct"/>
        <w:jc w:val="start"/>
        <w:tblInd w:w="28" w:type="dxa"/>
        <w:tblLayout w:type="fixed"/>
        <w:tblCellMar>
          <w:top w:w="28" w:type="dxa"/>
          <w:start w:w="28" w:type="dxa"/>
          <w:bottom w:w="28" w:type="dxa"/>
          <w:end w:w="28" w:type="dxa"/>
        </w:tblCellMar>
      </w:tblPr>
      <w:tblGrid>
        <w:gridCol w:w="392"/>
        <w:gridCol w:w="1776"/>
        <w:gridCol w:w="1416"/>
        <w:gridCol w:w="1439"/>
        <w:gridCol w:w="2621"/>
        <w:gridCol w:w="1994"/>
      </w:tblGrid>
      <w:tr>
        <w:trPr/>
        <w:tc>
          <w:tcPr>
            <w:tcW w:w="392" w:type="dxa"/>
            <w:tcBorders>
              <w:top w:val="single" w:sz="6" w:space="0" w:color="000000"/>
              <w:start w:val="single" w:sz="6" w:space="0" w:color="000000"/>
              <w:bottom w:val="single" w:sz="2" w:space="0" w:color="000000"/>
              <w:end w:val="single" w:sz="6" w:space="0" w:color="000000"/>
            </w:tcBorders>
            <w:vAlign w:val="center"/>
          </w:tcPr>
          <w:p>
            <w:pPr>
              <w:pStyle w:val="TableContents"/>
              <w:bidi w:val="0"/>
              <w:jc w:val="center"/>
              <w:rPr/>
            </w:pPr>
            <w:r>
              <w:rPr/>
              <w:t xml:space="preserve">№ </w:t>
            </w:r>
            <w:r>
              <w:rPr>
                <w:b/>
              </w:rPr>
              <w:t>п/п</w:t>
            </w:r>
          </w:p>
        </w:tc>
        <w:tc>
          <w:tcPr>
            <w:tcW w:w="1776" w:type="dxa"/>
            <w:tcBorders>
              <w:top w:val="single" w:sz="6" w:space="0" w:color="000000"/>
              <w:start w:val="single" w:sz="2" w:space="0" w:color="000000"/>
              <w:bottom w:val="single" w:sz="2" w:space="0" w:color="000000"/>
              <w:end w:val="single" w:sz="6" w:space="0" w:color="000000"/>
            </w:tcBorders>
            <w:vAlign w:val="center"/>
          </w:tcPr>
          <w:p>
            <w:pPr>
              <w:pStyle w:val="TableContents"/>
              <w:bidi w:val="0"/>
              <w:jc w:val="center"/>
              <w:rPr>
                <w:b/>
              </w:rPr>
            </w:pPr>
            <w:r>
              <w:rPr>
                <w:b/>
              </w:rPr>
              <w:t>Наименование</w:t>
            </w:r>
          </w:p>
        </w:tc>
        <w:tc>
          <w:tcPr>
            <w:tcW w:w="1416" w:type="dxa"/>
            <w:tcBorders>
              <w:top w:val="single" w:sz="6" w:space="0" w:color="000000"/>
              <w:start w:val="single" w:sz="2" w:space="0" w:color="000000"/>
              <w:bottom w:val="single" w:sz="2" w:space="0" w:color="000000"/>
              <w:end w:val="single" w:sz="6" w:space="0" w:color="000000"/>
            </w:tcBorders>
            <w:vAlign w:val="center"/>
          </w:tcPr>
          <w:p>
            <w:pPr>
              <w:pStyle w:val="TableContents"/>
              <w:bidi w:val="0"/>
              <w:jc w:val="center"/>
              <w:rPr>
                <w:b/>
              </w:rPr>
            </w:pPr>
            <w:r>
              <w:rPr>
                <w:b/>
              </w:rPr>
              <w:t>Количество (ед. измерения)</w:t>
            </w:r>
          </w:p>
        </w:tc>
        <w:tc>
          <w:tcPr>
            <w:tcW w:w="1439" w:type="dxa"/>
            <w:tcBorders>
              <w:top w:val="single" w:sz="6" w:space="0" w:color="000000"/>
              <w:start w:val="single" w:sz="2" w:space="0" w:color="000000"/>
              <w:bottom w:val="single" w:sz="2" w:space="0" w:color="000000"/>
              <w:end w:val="single" w:sz="6" w:space="0" w:color="000000"/>
            </w:tcBorders>
            <w:vAlign w:val="center"/>
          </w:tcPr>
          <w:p>
            <w:pPr>
              <w:pStyle w:val="TableContents"/>
              <w:bidi w:val="0"/>
              <w:jc w:val="center"/>
              <w:rPr>
                <w:b/>
              </w:rPr>
            </w:pPr>
            <w:r>
              <w:rPr>
                <w:b/>
              </w:rPr>
              <w:t>Вид требования</w:t>
            </w:r>
          </w:p>
        </w:tc>
        <w:tc>
          <w:tcPr>
            <w:tcW w:w="2621" w:type="dxa"/>
            <w:tcBorders>
              <w:top w:val="single" w:sz="6" w:space="0" w:color="000000"/>
              <w:start w:val="single" w:sz="2" w:space="0" w:color="000000"/>
              <w:bottom w:val="single" w:sz="2" w:space="0" w:color="000000"/>
              <w:end w:val="single" w:sz="6" w:space="0" w:color="000000"/>
            </w:tcBorders>
            <w:vAlign w:val="center"/>
          </w:tcPr>
          <w:p>
            <w:pPr>
              <w:pStyle w:val="TableContents"/>
              <w:bidi w:val="0"/>
              <w:jc w:val="center"/>
              <w:rPr>
                <w:b/>
              </w:rPr>
            </w:pPr>
            <w:r>
              <w:rPr>
                <w:b/>
              </w:rPr>
              <w:t>Код ОКПД 2</w:t>
            </w:r>
          </w:p>
        </w:tc>
        <w:tc>
          <w:tcPr>
            <w:tcW w:w="1994" w:type="dxa"/>
            <w:tcBorders>
              <w:top w:val="single" w:sz="6" w:space="0" w:color="000000"/>
              <w:start w:val="single" w:sz="2" w:space="0" w:color="000000"/>
              <w:bottom w:val="single" w:sz="2" w:space="0" w:color="000000"/>
              <w:end w:val="single" w:sz="6" w:space="0" w:color="000000"/>
            </w:tcBorders>
            <w:vAlign w:val="center"/>
          </w:tcPr>
          <w:p>
            <w:pPr>
              <w:pStyle w:val="TableContents"/>
              <w:bidi w:val="0"/>
              <w:jc w:val="center"/>
              <w:rPr>
                <w:b/>
              </w:rPr>
            </w:pPr>
            <w:r>
              <w:rPr>
                <w:b/>
              </w:rPr>
              <w:t>Код ОКВЭД 2</w:t>
            </w:r>
          </w:p>
        </w:tc>
      </w:tr>
      <w:tr>
        <w:trPr/>
        <w:tc>
          <w:tcPr>
            <w:tcW w:w="392" w:type="dxa"/>
            <w:tcBorders>
              <w:start w:val="single" w:sz="6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1</w:t>
            </w:r>
          </w:p>
        </w:tc>
        <w:tc>
          <w:tcPr>
            <w:tcW w:w="1776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Говядина (мякоть)</w:t>
            </w:r>
          </w:p>
        </w:tc>
        <w:tc>
          <w:tcPr>
            <w:tcW w:w="1416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900 (Килограмм)</w:t>
            </w:r>
          </w:p>
        </w:tc>
        <w:tc>
          <w:tcPr>
            <w:tcW w:w="1439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Ограничение</w:t>
            </w:r>
          </w:p>
        </w:tc>
        <w:tc>
          <w:tcPr>
            <w:tcW w:w="2621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10.11.31.110: Говядина замороженная</w:t>
            </w:r>
          </w:p>
        </w:tc>
        <w:tc>
          <w:tcPr>
            <w:tcW w:w="1994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10.11: Переработка и консервирование мяса</w:t>
            </w:r>
          </w:p>
        </w:tc>
      </w:tr>
      <w:tr>
        <w:trPr/>
        <w:tc>
          <w:tcPr>
            <w:tcW w:w="392" w:type="dxa"/>
            <w:tcBorders>
              <w:start w:val="single" w:sz="6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2</w:t>
            </w:r>
          </w:p>
        </w:tc>
        <w:tc>
          <w:tcPr>
            <w:tcW w:w="1776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Печень говяжья</w:t>
            </w:r>
          </w:p>
        </w:tc>
        <w:tc>
          <w:tcPr>
            <w:tcW w:w="1416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150 (Килограмм)</w:t>
            </w:r>
          </w:p>
        </w:tc>
        <w:tc>
          <w:tcPr>
            <w:tcW w:w="1439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Ограничение</w:t>
            </w:r>
          </w:p>
        </w:tc>
        <w:tc>
          <w:tcPr>
            <w:tcW w:w="2621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10.11.31.140: Субпродукты пищевые крупного рогатого скота замороженные</w:t>
            </w:r>
          </w:p>
        </w:tc>
        <w:tc>
          <w:tcPr>
            <w:tcW w:w="1994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10.11: Переработка и консервирование мяса</w:t>
            </w:r>
          </w:p>
        </w:tc>
      </w:tr>
      <w:tr>
        <w:trPr/>
        <w:tc>
          <w:tcPr>
            <w:tcW w:w="392" w:type="dxa"/>
            <w:tcBorders>
              <w:start w:val="single" w:sz="6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3</w:t>
            </w:r>
          </w:p>
        </w:tc>
        <w:tc>
          <w:tcPr>
            <w:tcW w:w="1776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Бедро куриное</w:t>
            </w:r>
          </w:p>
        </w:tc>
        <w:tc>
          <w:tcPr>
            <w:tcW w:w="1416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830 (Килограмм)</w:t>
            </w:r>
          </w:p>
        </w:tc>
        <w:tc>
          <w:tcPr>
            <w:tcW w:w="1439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Ограничение</w:t>
            </w:r>
          </w:p>
        </w:tc>
        <w:tc>
          <w:tcPr>
            <w:tcW w:w="2621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10.12.10.170: Мясо сельскохозяйственной птицы охлажденное для детского питания</w:t>
            </w:r>
          </w:p>
        </w:tc>
        <w:tc>
          <w:tcPr>
            <w:tcW w:w="1994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10.12: Производство и консервирование мяса птицы</w:t>
            </w:r>
          </w:p>
        </w:tc>
      </w:tr>
      <w:tr>
        <w:trPr/>
        <w:tc>
          <w:tcPr>
            <w:tcW w:w="392" w:type="dxa"/>
            <w:tcBorders>
              <w:start w:val="single" w:sz="6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4</w:t>
            </w:r>
          </w:p>
        </w:tc>
        <w:tc>
          <w:tcPr>
            <w:tcW w:w="1776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Куринная грудка, охлажденная на кости</w:t>
            </w:r>
          </w:p>
        </w:tc>
        <w:tc>
          <w:tcPr>
            <w:tcW w:w="1416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120 (Килограмм)</w:t>
            </w:r>
          </w:p>
        </w:tc>
        <w:tc>
          <w:tcPr>
            <w:tcW w:w="1439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Ограничение</w:t>
            </w:r>
          </w:p>
        </w:tc>
        <w:tc>
          <w:tcPr>
            <w:tcW w:w="2621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10.12.10.170: Мясо сельскохозяйственной птицы охлажденное для детского питания</w:t>
            </w:r>
          </w:p>
        </w:tc>
        <w:tc>
          <w:tcPr>
            <w:tcW w:w="1994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10.12: Производство и консервирование мяса птицы</w:t>
            </w:r>
          </w:p>
        </w:tc>
      </w:tr>
      <w:tr>
        <w:trPr/>
        <w:tc>
          <w:tcPr>
            <w:tcW w:w="392" w:type="dxa"/>
            <w:tcBorders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5</w:t>
            </w:r>
          </w:p>
        </w:tc>
        <w:tc>
          <w:tcPr>
            <w:tcW w:w="1776" w:type="dxa"/>
            <w:tcBorders>
              <w:start w:val="single" w:sz="2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Куры (туши)</w:t>
            </w:r>
          </w:p>
        </w:tc>
        <w:tc>
          <w:tcPr>
            <w:tcW w:w="1416" w:type="dxa"/>
            <w:tcBorders>
              <w:start w:val="single" w:sz="2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390 (Килограмм)</w:t>
            </w:r>
          </w:p>
        </w:tc>
        <w:tc>
          <w:tcPr>
            <w:tcW w:w="1439" w:type="dxa"/>
            <w:tcBorders>
              <w:start w:val="single" w:sz="2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Ограничение</w:t>
            </w:r>
          </w:p>
        </w:tc>
        <w:tc>
          <w:tcPr>
            <w:tcW w:w="2621" w:type="dxa"/>
            <w:tcBorders>
              <w:start w:val="single" w:sz="2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10.12.10.110: Мясо кур, в том числе цыплят (включая цыплят-бройлеров) охлажденное</w:t>
            </w:r>
          </w:p>
        </w:tc>
        <w:tc>
          <w:tcPr>
            <w:tcW w:w="1994" w:type="dxa"/>
            <w:tcBorders>
              <w:start w:val="single" w:sz="2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10.12: Производство и консервирование мяса птицы</w:t>
            </w:r>
          </w:p>
        </w:tc>
      </w:tr>
    </w:tbl>
    <w:p>
      <w:pPr>
        <w:pStyle w:val="text"/>
        <w:bidi w:val="0"/>
        <w:jc w:val="start"/>
        <w:rPr>
          <w:b w:val="false"/>
        </w:rPr>
      </w:pPr>
      <w:r>
        <w:rPr>
          <w:b w:val="false"/>
        </w:rPr>
      </w:r>
    </w:p>
    <w:p>
      <w:pPr>
        <w:pStyle w:val="variable"/>
        <w:bidi w:val="0"/>
        <w:jc w:val="start"/>
        <w:rPr/>
      </w:pPr>
      <w:r>
        <w:rPr/>
        <w:t>Количество поставляемого товара, объем выполняемых работ, оказываемых услуг:</w:t>
      </w:r>
      <w:r>
        <w:rPr>
          <w:b w:val="false"/>
          <w:i w:val="false"/>
          <w:u w:val="none"/>
        </w:rPr>
        <w:t xml:space="preserve"> Говядина (мякоть): 900 Килограмм, Печень говяжья: 150 Килограмм, Бедро куриное: 830 Килограмм, Куринная грудка, охлажденная на кости: 120 Килограмм, Куры (туши): 390 Килограмм.</w:t>
      </w:r>
    </w:p>
    <w:p>
      <w:pPr>
        <w:pStyle w:val="variable"/>
        <w:bidi w:val="0"/>
        <w:jc w:val="start"/>
        <w:rPr/>
      </w:pPr>
      <w:r>
        <w:rPr/>
        <w:t>Начальная (максимальная) цена договора (лота):</w:t>
      </w:r>
      <w:r>
        <w:rPr>
          <w:b w:val="false"/>
          <w:i w:val="false"/>
          <w:u w:val="none"/>
        </w:rPr>
        <w:t xml:space="preserve"> 1 451 719.50 руб.</w:t>
      </w:r>
    </w:p>
    <w:p>
      <w:pPr>
        <w:pStyle w:val="variable"/>
        <w:bidi w:val="0"/>
        <w:jc w:val="start"/>
        <w:rPr/>
      </w:pPr>
      <w:r>
        <w:rPr/>
        <w:t>Особенности проведения закупки:</w:t>
      </w:r>
      <w:r>
        <w:rPr>
          <w:b w:val="false"/>
          <w:i w:val="false"/>
          <w:u w:val="none"/>
        </w:rPr>
        <w:t xml:space="preserve"> только для субъектов малого и среднего предпринимательства.</w:t>
      </w:r>
    </w:p>
    <w:p>
      <w:pPr>
        <w:pStyle w:val="variable"/>
        <w:bidi w:val="0"/>
        <w:jc w:val="start"/>
        <w:rPr/>
      </w:pPr>
      <w:r>
        <w:rPr/>
        <w:t>Срок предоставления документации о закупке:</w:t>
      </w:r>
      <w:r>
        <w:rPr>
          <w:b w:val="false"/>
          <w:i w:val="false"/>
          <w:u w:val="none"/>
        </w:rPr>
        <w:t xml:space="preserve"> с 5 декабря 2025 года по 12 декабря 2025 года.</w:t>
      </w:r>
    </w:p>
    <w:p>
      <w:pPr>
        <w:pStyle w:val="variable"/>
        <w:bidi w:val="0"/>
        <w:jc w:val="start"/>
        <w:rPr/>
      </w:pPr>
      <w:r>
        <w:rPr/>
        <w:t>Место предоставления документации о закупке:</w:t>
      </w:r>
      <w:r>
        <w:rPr>
          <w:b w:val="false"/>
          <w:i w:val="false"/>
          <w:u w:val="none"/>
        </w:rPr>
        <w:t xml:space="preserve"> ЭТП ТОРГИ-ОНЛАЙН https://etp.torgi-online.com.</w:t>
      </w:r>
    </w:p>
    <w:p>
      <w:pPr>
        <w:pStyle w:val="variable"/>
        <w:bidi w:val="0"/>
        <w:jc w:val="start"/>
        <w:rPr/>
      </w:pPr>
      <w:r>
        <w:rPr/>
        <w:t>Порядок предоставления документации о закупке:</w:t>
      </w:r>
      <w:r>
        <w:rPr>
          <w:b w:val="false"/>
          <w:i w:val="false"/>
          <w:u w:val="none"/>
        </w:rPr>
        <w:t xml:space="preserve"> В электронной форме.</w:t>
      </w:r>
    </w:p>
    <w:p>
      <w:pPr>
        <w:pStyle w:val="variable"/>
        <w:bidi w:val="0"/>
        <w:jc w:val="start"/>
        <w:rPr/>
      </w:pPr>
      <w:r>
        <w:rPr/>
        <w:t>Официальный сайт, на котором размещена документация о закупке:</w:t>
      </w:r>
      <w:r>
        <w:rPr>
          <w:b w:val="false"/>
          <w:i w:val="false"/>
          <w:u w:val="none"/>
        </w:rPr>
        <w:t xml:space="preserve"> https://etp.torgi-online.com/.</w:t>
      </w:r>
    </w:p>
    <w:p>
      <w:pPr>
        <w:pStyle w:val="variable"/>
        <w:bidi w:val="0"/>
        <w:jc w:val="start"/>
        <w:rPr/>
      </w:pPr>
      <w:r>
        <w:rPr/>
        <w:t>Размер, срок и порядок внесения платы за предоставление документации о закупке:</w:t>
      </w:r>
      <w:r>
        <w:rPr>
          <w:b w:val="false"/>
          <w:i w:val="false"/>
          <w:u w:val="none"/>
        </w:rPr>
        <w:t xml:space="preserve"> плата не установлена.</w:t>
      </w:r>
    </w:p>
    <w:p>
      <w:pPr>
        <w:pStyle w:val="variable"/>
        <w:bidi w:val="0"/>
        <w:jc w:val="start"/>
        <w:rPr/>
      </w:pPr>
      <w:r>
        <w:rPr/>
        <w:t>Место подачи заявок:</w:t>
      </w:r>
      <w:r>
        <w:rPr>
          <w:b w:val="false"/>
          <w:i w:val="false"/>
          <w:u w:val="none"/>
        </w:rPr>
        <w:t xml:space="preserve"> ЭТП ТОРГИ-ОНЛАЙН https://etp.torgi-online.com.</w:t>
      </w:r>
    </w:p>
    <w:p>
      <w:pPr>
        <w:pStyle w:val="variable"/>
        <w:bidi w:val="0"/>
        <w:jc w:val="start"/>
        <w:rPr/>
      </w:pPr>
      <w:r>
        <w:rPr/>
        <w:t>Дата начала подачи заявок:</w:t>
      </w:r>
      <w:r>
        <w:rPr>
          <w:b w:val="false"/>
          <w:i w:val="false"/>
          <w:u w:val="none"/>
        </w:rPr>
        <w:t xml:space="preserve"> 5 декабря 2025 года.</w:t>
      </w:r>
    </w:p>
    <w:p>
      <w:pPr>
        <w:pStyle w:val="variable"/>
        <w:bidi w:val="0"/>
        <w:jc w:val="start"/>
        <w:rPr/>
      </w:pPr>
      <w:r>
        <w:rPr/>
        <w:t>Дата и время окончания подачи заявок:</w:t>
      </w:r>
      <w:r>
        <w:rPr>
          <w:b w:val="false"/>
          <w:i w:val="false"/>
          <w:u w:val="none"/>
        </w:rPr>
        <w:t xml:space="preserve"> 12 декабря 2025 года в 10:00 MCK+2.</w:t>
      </w:r>
    </w:p>
    <w:p>
      <w:pPr>
        <w:pStyle w:val="variable"/>
        <w:bidi w:val="0"/>
        <w:jc w:val="start"/>
        <w:rPr/>
      </w:pPr>
      <w:r>
        <w:rPr/>
        <w:t>Место, дата и время рассмотрения заявок:</w:t>
      </w:r>
      <w:r>
        <w:rPr>
          <w:b w:val="false"/>
          <w:i w:val="false"/>
          <w:u w:val="none"/>
        </w:rPr>
        <w:t xml:space="preserve"> , 12 декабря 2025 года в 10:00 MCK+2.</w:t>
      </w:r>
    </w:p>
    <w:p>
      <w:pPr>
        <w:pStyle w:val="variable"/>
        <w:bidi w:val="0"/>
        <w:jc w:val="start"/>
        <w:rPr/>
      </w:pPr>
      <w:r>
        <w:rPr/>
        <w:t>Место, дата и время подведения итогов закупки:</w:t>
      </w:r>
      <w:r>
        <w:rPr>
          <w:b w:val="false"/>
          <w:i w:val="false"/>
          <w:u w:val="none"/>
        </w:rPr>
        <w:t xml:space="preserve"> 628482, АВТОНОМНЫЙ ОКРУГ ХАНТЫ-МАНСИЙСКИЙ АВТОНОМНЫЙ ОКРУГ - ЮГРА, Г. КОГАЛЫМ, УЛ. НАБЕРЕЖНАЯ, Д.6, 12 декабря 2025 года в 16:56 MCK+2.</w:t>
      </w:r>
    </w:p>
    <w:p>
      <w:pPr>
        <w:pStyle w:val="text"/>
        <w:bidi w:val="0"/>
        <w:spacing w:lineRule="auto" w:line="240"/>
        <w:jc w:val="start"/>
        <w:rPr/>
      </w:pPr>
      <w:r>
        <w:rPr/>
      </w:r>
    </w:p>
    <w:p>
      <w:pPr>
        <w:pStyle w:val="centered"/>
        <w:bidi w:val="0"/>
        <w:rPr>
          <w:b/>
          <w:i w:val="false"/>
          <w:i w:val="false"/>
          <w:u w:val="none"/>
        </w:rPr>
      </w:pPr>
      <w:r>
        <w:rPr>
          <w:b/>
          <w:i w:val="false"/>
          <w:u w:val="none"/>
        </w:rPr>
        <w:t>II. Сведения о результатах подведения итогов закупки</w:t>
      </w:r>
    </w:p>
    <w:p>
      <w:pPr>
        <w:pStyle w:val="Normal"/>
        <w:bidi w:val="0"/>
        <w:jc w:val="start"/>
        <w:rPr>
          <w:b/>
          <w:i w:val="false"/>
          <w:i w:val="false"/>
          <w:sz w:val="24"/>
          <w:u w:val="none"/>
        </w:rPr>
      </w:pPr>
      <w:r>
        <w:rPr>
          <w:b/>
          <w:i w:val="false"/>
          <w:sz w:val="24"/>
          <w:u w:val="none"/>
        </w:rPr>
        <w:t>Сведения о принятом на основании подведения итогов закупки решении о присвоении участникам закупки следующих порядковых номеров (по мере уменьшения степени выгодности содержащихся в них условий исполнения договора):</w:t>
      </w:r>
    </w:p>
    <w:tbl>
      <w:tblPr>
        <w:tblW w:w="5000" w:type="pct"/>
        <w:jc w:val="start"/>
        <w:tblInd w:w="28" w:type="dxa"/>
        <w:tblLayout w:type="fixed"/>
        <w:tblCellMar>
          <w:top w:w="28" w:type="dxa"/>
          <w:start w:w="28" w:type="dxa"/>
          <w:bottom w:w="28" w:type="dxa"/>
          <w:end w:w="28" w:type="dxa"/>
        </w:tblCellMar>
      </w:tblPr>
      <w:tblGrid>
        <w:gridCol w:w="3865"/>
        <w:gridCol w:w="3615"/>
        <w:gridCol w:w="2158"/>
      </w:tblGrid>
      <w:tr>
        <w:trPr/>
        <w:tc>
          <w:tcPr>
            <w:tcW w:w="3865" w:type="dxa"/>
            <w:tcBorders>
              <w:top w:val="single" w:sz="6" w:space="0" w:color="000000"/>
              <w:start w:val="single" w:sz="6" w:space="0" w:color="000000"/>
              <w:bottom w:val="single" w:sz="2" w:space="0" w:color="000000"/>
              <w:end w:val="single" w:sz="6" w:space="0" w:color="000000"/>
            </w:tcBorders>
            <w:vAlign w:val="center"/>
          </w:tcPr>
          <w:p>
            <w:pPr>
              <w:pStyle w:val="TableContents"/>
              <w:bidi w:val="0"/>
              <w:jc w:val="center"/>
              <w:rPr>
                <w:b/>
              </w:rPr>
            </w:pPr>
            <w:r>
              <w:rPr>
                <w:b/>
              </w:rPr>
              <w:t>Номер заявки участника процедуры</w:t>
            </w:r>
          </w:p>
        </w:tc>
        <w:tc>
          <w:tcPr>
            <w:tcW w:w="3615" w:type="dxa"/>
            <w:tcBorders>
              <w:top w:val="single" w:sz="6" w:space="0" w:color="000000"/>
              <w:start w:val="single" w:sz="2" w:space="0" w:color="000000"/>
              <w:bottom w:val="single" w:sz="2" w:space="0" w:color="000000"/>
              <w:end w:val="single" w:sz="6" w:space="0" w:color="000000"/>
            </w:tcBorders>
            <w:vAlign w:val="center"/>
          </w:tcPr>
          <w:p>
            <w:pPr>
              <w:pStyle w:val="TableContents"/>
              <w:bidi w:val="0"/>
              <w:jc w:val="center"/>
              <w:rPr>
                <w:b/>
              </w:rPr>
            </w:pPr>
            <w:r>
              <w:rPr>
                <w:b/>
              </w:rPr>
              <w:t>Дата и время регистрации заявки</w:t>
            </w:r>
          </w:p>
        </w:tc>
        <w:tc>
          <w:tcPr>
            <w:tcW w:w="2158" w:type="dxa"/>
            <w:tcBorders>
              <w:top w:val="single" w:sz="6" w:space="0" w:color="000000"/>
              <w:start w:val="single" w:sz="2" w:space="0" w:color="000000"/>
              <w:bottom w:val="single" w:sz="2" w:space="0" w:color="000000"/>
              <w:end w:val="single" w:sz="6" w:space="0" w:color="000000"/>
            </w:tcBorders>
            <w:vAlign w:val="center"/>
          </w:tcPr>
          <w:p>
            <w:pPr>
              <w:pStyle w:val="TableContents"/>
              <w:bidi w:val="0"/>
              <w:jc w:val="center"/>
              <w:rPr>
                <w:b/>
              </w:rPr>
            </w:pPr>
            <w:r>
              <w:rPr>
                <w:b/>
              </w:rPr>
              <w:t>Порядковый номер</w:t>
            </w:r>
          </w:p>
        </w:tc>
      </w:tr>
      <w:tr>
        <w:trPr/>
        <w:tc>
          <w:tcPr>
            <w:tcW w:w="3865" w:type="dxa"/>
            <w:tcBorders>
              <w:start w:val="single" w:sz="6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Заявка №31632</w:t>
            </w:r>
          </w:p>
        </w:tc>
        <w:tc>
          <w:tcPr>
            <w:tcW w:w="3615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10.12.2025 16:35 MCK+2</w:t>
            </w:r>
          </w:p>
        </w:tc>
        <w:tc>
          <w:tcPr>
            <w:tcW w:w="2158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bidi w:val="0"/>
              <w:jc w:val="center"/>
              <w:rPr/>
            </w:pPr>
            <w:r>
              <w:rPr/>
              <w:t>1</w:t>
            </w:r>
          </w:p>
        </w:tc>
      </w:tr>
      <w:tr>
        <w:trPr/>
        <w:tc>
          <w:tcPr>
            <w:tcW w:w="3865" w:type="dxa"/>
            <w:tcBorders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Заявка №31817</w:t>
            </w:r>
          </w:p>
        </w:tc>
        <w:tc>
          <w:tcPr>
            <w:tcW w:w="3615" w:type="dxa"/>
            <w:tcBorders>
              <w:start w:val="single" w:sz="2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11.12.2025 21:39 MCK+2</w:t>
            </w:r>
          </w:p>
        </w:tc>
        <w:tc>
          <w:tcPr>
            <w:tcW w:w="2158" w:type="dxa"/>
            <w:tcBorders>
              <w:start w:val="single" w:sz="2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TableContents"/>
              <w:bidi w:val="0"/>
              <w:jc w:val="center"/>
              <w:rPr/>
            </w:pPr>
            <w:r>
              <w:rPr/>
              <w:t>2</w:t>
            </w:r>
          </w:p>
        </w:tc>
      </w:tr>
    </w:tbl>
    <w:p>
      <w:pPr>
        <w:pStyle w:val="text"/>
        <w:bidi w:val="0"/>
        <w:jc w:val="start"/>
        <w:rPr>
          <w:b w:val="false"/>
          <w:i w:val="false"/>
          <w:i w:val="false"/>
          <w:u w:val="none"/>
        </w:rPr>
      </w:pPr>
      <w:r>
        <w:rPr>
          <w:b w:val="false"/>
          <w:i w:val="false"/>
          <w:u w:val="none"/>
        </w:rPr>
      </w:r>
    </w:p>
    <w:p>
      <w:pPr>
        <w:pStyle w:val="Normal"/>
        <w:bidi w:val="0"/>
        <w:jc w:val="start"/>
        <w:rPr>
          <w:b/>
          <w:i w:val="false"/>
          <w:i w:val="false"/>
          <w:sz w:val="24"/>
          <w:u w:val="none"/>
        </w:rPr>
      </w:pPr>
      <w:r>
        <w:rPr>
          <w:b/>
          <w:i w:val="false"/>
          <w:sz w:val="24"/>
          <w:u w:val="none"/>
        </w:rPr>
        <w:t>Сведения об участниках закупки, которым присвоены первый и второй порядковые номера:</w:t>
      </w:r>
    </w:p>
    <w:tbl>
      <w:tblPr>
        <w:tblW w:w="5000" w:type="pct"/>
        <w:jc w:val="start"/>
        <w:tblInd w:w="28" w:type="dxa"/>
        <w:tblLayout w:type="fixed"/>
        <w:tblCellMar>
          <w:top w:w="28" w:type="dxa"/>
          <w:start w:w="28" w:type="dxa"/>
          <w:bottom w:w="28" w:type="dxa"/>
          <w:end w:w="28" w:type="dxa"/>
        </w:tblCellMar>
      </w:tblPr>
      <w:tblGrid>
        <w:gridCol w:w="5218"/>
        <w:gridCol w:w="4420"/>
      </w:tblGrid>
      <w:tr>
        <w:trPr/>
        <w:tc>
          <w:tcPr>
            <w:tcW w:w="5218" w:type="dxa"/>
            <w:tcBorders>
              <w:top w:val="single" w:sz="6" w:space="0" w:color="000000"/>
              <w:start w:val="single" w:sz="6" w:space="0" w:color="000000"/>
              <w:bottom w:val="single" w:sz="2" w:space="0" w:color="000000"/>
              <w:end w:val="single" w:sz="6" w:space="0" w:color="000000"/>
            </w:tcBorders>
            <w:vAlign w:val="center"/>
          </w:tcPr>
          <w:p>
            <w:pPr>
              <w:pStyle w:val="TableContents"/>
              <w:bidi w:val="0"/>
              <w:jc w:val="center"/>
              <w:rPr>
                <w:b/>
              </w:rPr>
            </w:pPr>
            <w:r>
              <w:rPr>
                <w:b/>
              </w:rPr>
              <w:t>Участник, которому присвоен первый порядковый номер (победитель)</w:t>
            </w:r>
          </w:p>
        </w:tc>
        <w:tc>
          <w:tcPr>
            <w:tcW w:w="4420" w:type="dxa"/>
            <w:tcBorders>
              <w:top w:val="single" w:sz="6" w:space="0" w:color="000000"/>
              <w:start w:val="single" w:sz="2" w:space="0" w:color="000000"/>
              <w:bottom w:val="single" w:sz="2" w:space="0" w:color="000000"/>
              <w:end w:val="single" w:sz="6" w:space="0" w:color="000000"/>
            </w:tcBorders>
            <w:vAlign w:val="center"/>
          </w:tcPr>
          <w:p>
            <w:pPr>
              <w:pStyle w:val="TableContents"/>
              <w:bidi w:val="0"/>
              <w:jc w:val="center"/>
              <w:rPr>
                <w:b/>
              </w:rPr>
            </w:pPr>
            <w:r>
              <w:rPr>
                <w:b/>
              </w:rPr>
              <w:t>Участник, которому присвоен второй порядковый номер</w:t>
            </w:r>
          </w:p>
        </w:tc>
      </w:tr>
      <w:tr>
        <w:trPr/>
        <w:tc>
          <w:tcPr>
            <w:tcW w:w="5218" w:type="dxa"/>
            <w:tcBorders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Заявка №31632, -</w:t>
              <w:br/>
            </w:r>
            <w:r>
              <w:rPr>
                <w:u w:val="single"/>
              </w:rPr>
              <w:t>Предложение о цене договора (лота):</w:t>
            </w:r>
            <w:r>
              <w:rPr/>
              <w:br/>
              <w:t>859 100.00 руб.</w:t>
            </w:r>
          </w:p>
        </w:tc>
        <w:tc>
          <w:tcPr>
            <w:tcW w:w="4420" w:type="dxa"/>
            <w:tcBorders>
              <w:start w:val="single" w:sz="2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Заявка №31817, -</w:t>
              <w:br/>
            </w:r>
            <w:r>
              <w:rPr>
                <w:u w:val="single"/>
              </w:rPr>
              <w:t>Предложение о цене договора (лота):</w:t>
            </w:r>
            <w:r>
              <w:rPr/>
              <w:br/>
              <w:t>1 041 330.00 руб.</w:t>
            </w:r>
          </w:p>
        </w:tc>
      </w:tr>
    </w:tbl>
    <w:p>
      <w:pPr>
        <w:pStyle w:val="text"/>
        <w:bidi w:val="0"/>
        <w:jc w:val="start"/>
        <w:rPr>
          <w:b w:val="false"/>
          <w:i w:val="false"/>
          <w:i w:val="false"/>
          <w:u w:val="none"/>
        </w:rPr>
      </w:pPr>
      <w:r>
        <w:rPr>
          <w:b w:val="false"/>
          <w:i w:val="false"/>
          <w:u w:val="none"/>
        </w:rPr>
      </w:r>
    </w:p>
    <w:p>
      <w:pPr>
        <w:pStyle w:val="text"/>
        <w:bidi w:val="0"/>
        <w:spacing w:lineRule="auto" w:line="240"/>
        <w:jc w:val="start"/>
        <w:rPr>
          <w:b w:val="false"/>
          <w:i w:val="false"/>
          <w:i w:val="false"/>
          <w:u w:val="none"/>
        </w:rPr>
      </w:pPr>
      <w:r>
        <w:rPr>
          <w:b w:val="false"/>
          <w:i w:val="false"/>
          <w:u w:val="none"/>
        </w:rPr>
      </w:r>
    </w:p>
    <w:p>
      <w:pPr>
        <w:pStyle w:val="Normal"/>
        <w:bidi w:val="0"/>
        <w:jc w:val="start"/>
        <w:rPr>
          <w:b/>
        </w:rPr>
      </w:pPr>
      <w:r>
        <w:rPr>
          <w:b/>
        </w:rPr>
        <w:t>Состав комиссии:</w:t>
      </w:r>
    </w:p>
    <w:tbl>
      <w:tblPr>
        <w:tblW w:w="5000" w:type="pct"/>
        <w:jc w:val="start"/>
        <w:tblInd w:w="28" w:type="dxa"/>
        <w:tblLayout w:type="fixed"/>
        <w:tblCellMar>
          <w:top w:w="28" w:type="dxa"/>
          <w:start w:w="28" w:type="dxa"/>
          <w:bottom w:w="28" w:type="dxa"/>
          <w:end w:w="28" w:type="dxa"/>
        </w:tblCellMar>
      </w:tblPr>
      <w:tblGrid>
        <w:gridCol w:w="2899"/>
        <w:gridCol w:w="4980"/>
        <w:gridCol w:w="1759"/>
      </w:tblGrid>
      <w:tr>
        <w:trPr/>
        <w:tc>
          <w:tcPr>
            <w:tcW w:w="9638" w:type="dxa"/>
            <w:gridSpan w:val="3"/>
            <w:tcBorders>
              <w:top w:val="single" w:sz="6" w:space="0" w:color="000000"/>
              <w:start w:val="single" w:sz="6" w:space="0" w:color="000000"/>
              <w:bottom w:val="single" w:sz="2" w:space="0" w:color="000000"/>
              <w:end w:val="single" w:sz="6" w:space="0" w:color="000000"/>
            </w:tcBorders>
            <w:vAlign w:val="center"/>
          </w:tcPr>
          <w:p>
            <w:pPr>
              <w:pStyle w:val="TableContents"/>
              <w:bidi w:val="0"/>
              <w:jc w:val="center"/>
              <w:rPr>
                <w:b/>
              </w:rPr>
            </w:pPr>
            <w:r>
              <w:rPr>
                <w:b/>
              </w:rPr>
              <w:t>Комиссия</w:t>
            </w:r>
          </w:p>
        </w:tc>
      </w:tr>
      <w:tr>
        <w:trPr/>
        <w:tc>
          <w:tcPr>
            <w:tcW w:w="2899" w:type="dxa"/>
            <w:tcBorders>
              <w:start w:val="single" w:sz="6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bidi w:val="0"/>
              <w:jc w:val="center"/>
              <w:rPr>
                <w:b/>
              </w:rPr>
            </w:pPr>
            <w:r>
              <w:rPr>
                <w:b/>
              </w:rPr>
              <w:t>Роль в комиссии</w:t>
            </w:r>
          </w:p>
        </w:tc>
        <w:tc>
          <w:tcPr>
            <w:tcW w:w="4980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bidi w:val="0"/>
              <w:jc w:val="center"/>
              <w:rPr>
                <w:b/>
              </w:rPr>
            </w:pPr>
            <w:r>
              <w:rPr>
                <w:b/>
              </w:rPr>
              <w:t>Ф.И.О.</w:t>
            </w:r>
          </w:p>
        </w:tc>
        <w:tc>
          <w:tcPr>
            <w:tcW w:w="1759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bidi w:val="0"/>
              <w:jc w:val="center"/>
              <w:rPr>
                <w:b/>
              </w:rPr>
            </w:pPr>
            <w:r>
              <w:rPr>
                <w:b/>
              </w:rPr>
              <w:t>Подпись</w:t>
            </w:r>
          </w:p>
        </w:tc>
      </w:tr>
      <w:tr>
        <w:trPr/>
        <w:tc>
          <w:tcPr>
            <w:tcW w:w="2899" w:type="dxa"/>
            <w:tcBorders>
              <w:start w:val="single" w:sz="6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Председатель комиссии</w:t>
            </w:r>
          </w:p>
        </w:tc>
        <w:tc>
          <w:tcPr>
            <w:tcW w:w="4980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Шамсутдинова Ирина Сергеевна</w:t>
            </w:r>
          </w:p>
        </w:tc>
        <w:tc>
          <w:tcPr>
            <w:tcW w:w="1759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 </w:t>
            </w:r>
          </w:p>
        </w:tc>
      </w:tr>
      <w:tr>
        <w:trPr/>
        <w:tc>
          <w:tcPr>
            <w:tcW w:w="2899" w:type="dxa"/>
            <w:tcBorders>
              <w:start w:val="single" w:sz="6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Член комиссии</w:t>
            </w:r>
          </w:p>
        </w:tc>
        <w:tc>
          <w:tcPr>
            <w:tcW w:w="4980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Сакриева Вера Михайловна</w:t>
            </w:r>
          </w:p>
        </w:tc>
        <w:tc>
          <w:tcPr>
            <w:tcW w:w="1759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 </w:t>
            </w:r>
          </w:p>
        </w:tc>
      </w:tr>
      <w:tr>
        <w:trPr/>
        <w:tc>
          <w:tcPr>
            <w:tcW w:w="2899" w:type="dxa"/>
            <w:tcBorders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Член комиссии</w:t>
            </w:r>
          </w:p>
        </w:tc>
        <w:tc>
          <w:tcPr>
            <w:tcW w:w="4980" w:type="dxa"/>
            <w:tcBorders>
              <w:start w:val="single" w:sz="2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Юлмухаметова Альфия Вакильевна</w:t>
            </w:r>
          </w:p>
        </w:tc>
        <w:tc>
          <w:tcPr>
            <w:tcW w:w="1759" w:type="dxa"/>
            <w:tcBorders>
              <w:start w:val="single" w:sz="2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 </w:t>
            </w:r>
          </w:p>
        </w:tc>
      </w:tr>
    </w:tbl>
    <w:p>
      <w:pPr>
        <w:pStyle w:val="text"/>
        <w:bidi w:val="0"/>
        <w:jc w:val="start"/>
        <w:rPr>
          <w:b w:val="false"/>
        </w:rPr>
      </w:pPr>
      <w:r>
        <w:rPr>
          <w:b w:val="false"/>
        </w:rPr>
      </w:r>
    </w:p>
    <w:sectPr>
      <w:type w:val="nextPage"/>
      <w:pgSz w:w="11906" w:h="16838"/>
      <w:pgMar w:left="1134" w:right="1134" w:gutter="0" w:header="0" w:top="1134" w:footer="0" w:bottom="1134"/>
      <w:pgNumType w:fmt="decimal"/>
      <w:formProt w:val="false"/>
      <w:textDirection w:val="lrTb"/>
      <w:docGrid w:type="default" w:linePitch="600" w:charSpace="32768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Times New Roman">
    <w:charset w:val="01"/>
    <w:family w:val="roman"/>
    <w:pitch w:val="variable"/>
  </w:font>
  <w:font w:name="Arial">
    <w:charset w:val="01"/>
    <w:family w:val="swiss"/>
    <w:pitch w:val="variable"/>
  </w:font>
  <w:font w:name="Arial">
    <w:charset w:val="01"/>
    <w:family w:val="swiss"/>
    <w:pitch w:val="default"/>
  </w:font>
  <w:font w:name="Liberation Sans">
    <w:altName w:val="Arial"/>
    <w:charset w:val="01"/>
    <w:family w:val="swiss"/>
    <w:pitch w:val="variable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pStyle w:val="Heading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pStyle w:val="Heading2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pStyle w:val="Heading3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</w:numbering>
</file>

<file path=word/settings.xml><?xml version="1.0" encoding="utf-8"?>
<w:settings xmlns:w="http://schemas.openxmlformats.org/wordprocessingml/2006/main">
  <w:zoom w:val="bestFit" w:percent="20"/>
  <w:defaultTabStop w:val="709"/>
  <w:autoHyphenation w:val="true"/>
  <w:hyphenationZone w:val="0"/>
  <w:compat>
    <w:compatSetting w:name="compatibilityMode" w:uri="http://schemas.microsoft.com/office/word" w:val="11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ans" w:cs="Noto Sans Devanagari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 w:val="false"/>
      <w:suppressAutoHyphens w:val="true"/>
      <w:kinsoku w:val="true"/>
      <w:overflowPunct w:val="true"/>
      <w:autoSpaceDE w:val="true"/>
      <w:bidi w:val="0"/>
    </w:pPr>
    <w:rPr>
      <w:rFonts w:ascii="Times New Roman" w:hAnsi="Times New Roman" w:eastAsia="Lucida Sans Unicode" w:cs="Tahoma"/>
      <w:color w:val="auto"/>
      <w:kern w:val="2"/>
      <w:sz w:val="24"/>
      <w:szCs w:val="24"/>
      <w:lang w:val="ru-RU" w:eastAsia="ru-RU" w:bidi="ru-RU"/>
    </w:rPr>
  </w:style>
  <w:style w:type="paragraph" w:styleId="Heading1">
    <w:name w:val="heading 1"/>
    <w:basedOn w:val="Heading"/>
    <w:next w:val="BodyText"/>
    <w:qFormat/>
    <w:pPr>
      <w:numPr>
        <w:ilvl w:val="0"/>
        <w:numId w:val="1"/>
      </w:numPr>
      <w:outlineLvl w:val="0"/>
    </w:pPr>
    <w:rPr>
      <w:b/>
      <w:bCs/>
      <w:sz w:val="32"/>
      <w:szCs w:val="32"/>
    </w:rPr>
  </w:style>
  <w:style w:type="paragraph" w:styleId="Heading2">
    <w:name w:val="heading 2"/>
    <w:basedOn w:val="Heading"/>
    <w:next w:val="BodyText"/>
    <w:qFormat/>
    <w:pPr>
      <w:numPr>
        <w:ilvl w:val="1"/>
        <w:numId w:val="1"/>
      </w:numPr>
      <w:outlineLvl w:val="1"/>
    </w:pPr>
    <w:rPr>
      <w:b/>
      <w:bCs/>
      <w:i/>
      <w:iCs/>
      <w:sz w:val="28"/>
      <w:szCs w:val="28"/>
    </w:rPr>
  </w:style>
  <w:style w:type="paragraph" w:styleId="Heading3">
    <w:name w:val="heading 3"/>
    <w:basedOn w:val="Heading"/>
    <w:next w:val="BodyText"/>
    <w:qFormat/>
    <w:pPr>
      <w:numPr>
        <w:ilvl w:val="2"/>
        <w:numId w:val="1"/>
      </w:numPr>
      <w:outlineLvl w:val="2"/>
    </w:pPr>
    <w:rPr>
      <w:b/>
      <w:bCs/>
      <w:sz w:val="28"/>
      <w:szCs w:val="28"/>
    </w:rPr>
  </w:style>
  <w:style w:type="character" w:styleId="NumberingSymbols">
    <w:name w:val="Numbering Symbols"/>
    <w:qFormat/>
    <w:rPr/>
  </w:style>
  <w:style w:type="character" w:styleId="FootnoteCharacters">
    <w:name w:val="Footnote Characters"/>
    <w:qFormat/>
    <w:rPr/>
  </w:style>
  <w:style w:type="character" w:styleId="EndnoteCharacters">
    <w:name w:val="Endnote Characters"/>
    <w:qFormat/>
    <w:rPr/>
  </w:style>
  <w:style w:type="character" w:styleId="Hyperlink">
    <w:name w:val="Hyperlink"/>
    <w:rPr>
      <w:color w:val="000080"/>
      <w:u w:val="single"/>
      <w:lang w:val="zxx" w:eastAsia="zxx" w:bidi="zxx"/>
    </w:rPr>
  </w:style>
  <w:style w:type="character" w:styleId="FollowedHyperlink">
    <w:name w:val="FollowedHyperlink"/>
    <w:rPr>
      <w:color w:val="800000"/>
      <w:u w:val="single"/>
      <w:lang w:val="zxx" w:eastAsia="zxx" w:bidi="zxx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Arial" w:hAnsi="Arial" w:eastAsia="Lucida Sans Unicode" w:cs="Tahoma"/>
      <w:sz w:val="28"/>
      <w:szCs w:val="28"/>
    </w:rPr>
  </w:style>
  <w:style w:type="paragraph" w:styleId="BodyText">
    <w:name w:val="Body Text"/>
    <w:basedOn w:val="Normal"/>
    <w:pPr>
      <w:spacing w:before="0" w:after="120"/>
    </w:pPr>
    <w:rPr/>
  </w:style>
  <w:style w:type="paragraph" w:styleId="List">
    <w:name w:val="List"/>
    <w:basedOn w:val="BodyText"/>
    <w:pPr/>
    <w:rPr>
      <w:rFonts w:ascii="Arial" w:hAnsi="Arial" w:cs="Tahoma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ascii="Times New Roman" w:hAnsi="Times New Roman" w:cs="Tahoma"/>
      <w:i/>
      <w:iCs/>
      <w:sz w:val="20"/>
      <w:szCs w:val="24"/>
    </w:rPr>
  </w:style>
  <w:style w:type="paragraph" w:styleId="Index">
    <w:name w:val="Index"/>
    <w:basedOn w:val="Normal"/>
    <w:qFormat/>
    <w:pPr>
      <w:suppressLineNumbers/>
    </w:pPr>
    <w:rPr>
      <w:rFonts w:ascii="Arial" w:hAnsi="Arial" w:cs="Tahoma"/>
    </w:rPr>
  </w:style>
  <w:style w:type="paragraph" w:styleId="BodyTextFirstIndent">
    <w:name w:val="Body Text First Indent"/>
    <w:basedOn w:val="BodyText"/>
    <w:pPr>
      <w:ind w:firstLine="283" w:start="0" w:end="0"/>
    </w:pPr>
    <w:rPr/>
  </w:style>
  <w:style w:type="paragraph" w:styleId="WW-Heading">
    <w:name w:val="WW-Heading"/>
    <w:basedOn w:val="Normal"/>
    <w:next w:val="BodyText"/>
    <w:qFormat/>
    <w:pPr>
      <w:keepNext w:val="true"/>
      <w:spacing w:before="240" w:after="120"/>
    </w:pPr>
    <w:rPr>
      <w:rFonts w:ascii="Liberation Sans;Arial" w:hAnsi="Liberation Sans;Arial" w:eastAsia="DejaVu Sans" w:cs="DejaVu Sans"/>
      <w:sz w:val="28"/>
      <w:szCs w:val="28"/>
    </w:rPr>
  </w:style>
  <w:style w:type="paragraph" w:styleId="Subtitle">
    <w:name w:val="Subtitle"/>
    <w:basedOn w:val="Heading"/>
    <w:next w:val="BodyText"/>
    <w:qFormat/>
    <w:pPr>
      <w:jc w:val="center"/>
    </w:pPr>
    <w:rPr>
      <w:i/>
      <w:iCs/>
      <w:sz w:val="28"/>
      <w:szCs w:val="28"/>
    </w:rPr>
  </w:style>
  <w:style w:type="paragraph" w:styleId="Bibliography1">
    <w:name w:val="Bibliography 1"/>
    <w:basedOn w:val="Index"/>
    <w:qFormat/>
    <w:pPr>
      <w:tabs>
        <w:tab w:val="clear" w:pos="709"/>
        <w:tab w:val="right" w:pos="9637" w:leader="dot"/>
      </w:tabs>
      <w:ind w:hanging="0" w:start="0" w:end="0"/>
    </w:pPr>
    <w:rPr/>
  </w:style>
  <w:style w:type="paragraph" w:styleId="publication">
    <w:name w:val="publication"/>
    <w:basedOn w:val="Normal"/>
    <w:next w:val="text"/>
    <w:qFormat/>
    <w:pPr>
      <w:pBdr/>
      <w:spacing w:lineRule="auto" w:line="240"/>
    </w:pPr>
    <w:rPr>
      <w:rFonts w:ascii="Arial" w:hAnsi="Arial" w:cs="Arial"/>
      <w:b w:val="false"/>
      <w:color w:val="FFFFFF"/>
      <w:sz w:val="22"/>
      <w:shd w:fill="000000" w:val="clear"/>
    </w:rPr>
  </w:style>
  <w:style w:type="paragraph" w:styleId="text">
    <w:name w:val="text"/>
    <w:qFormat/>
    <w:pPr>
      <w:widowControl w:val="false"/>
      <w:suppressAutoHyphens w:val="true"/>
      <w:kinsoku w:val="true"/>
      <w:overflowPunct w:val="true"/>
      <w:autoSpaceDE w:val="true"/>
      <w:bidi w:val="0"/>
      <w:spacing w:lineRule="auto" w:line="240"/>
    </w:pPr>
    <w:rPr>
      <w:rFonts w:ascii="Times New Roman" w:hAnsi="Times New Roman" w:eastAsia="Lucida Sans Unicode" w:cs="Tahoma"/>
      <w:color w:val="auto"/>
      <w:kern w:val="2"/>
      <w:sz w:val="24"/>
      <w:szCs w:val="24"/>
      <w:lang w:val="ru-RU" w:eastAsia="ru-RU" w:bidi="ru-RU"/>
    </w:rPr>
  </w:style>
  <w:style w:type="paragraph" w:styleId="layout0">
    <w:name w:val="layout0"/>
    <w:basedOn w:val="Heading1"/>
    <w:next w:val="text"/>
    <w:qFormat/>
    <w:pPr>
      <w:numPr>
        <w:ilvl w:val="0"/>
        <w:numId w:val="0"/>
      </w:numPr>
      <w:ind w:hanging="0" w:start="0" w:end="0"/>
      <w:outlineLvl w:val="9"/>
    </w:pPr>
    <w:rPr>
      <w:b/>
      <w:sz w:val="32"/>
    </w:rPr>
  </w:style>
  <w:style w:type="paragraph" w:styleId="layout1">
    <w:name w:val="layout1"/>
    <w:basedOn w:val="Heading2"/>
    <w:next w:val="text"/>
    <w:qFormat/>
    <w:pPr>
      <w:numPr>
        <w:ilvl w:val="0"/>
        <w:numId w:val="0"/>
      </w:numPr>
      <w:ind w:hanging="0" w:start="0" w:end="0"/>
      <w:outlineLvl w:val="9"/>
    </w:pPr>
    <w:rPr/>
  </w:style>
  <w:style w:type="paragraph" w:styleId="layout2">
    <w:name w:val="layout2"/>
    <w:basedOn w:val="Heading3"/>
    <w:next w:val="text"/>
    <w:qFormat/>
    <w:pPr>
      <w:numPr>
        <w:ilvl w:val="0"/>
        <w:numId w:val="0"/>
      </w:numPr>
      <w:ind w:hanging="0" w:start="0" w:end="0"/>
      <w:outlineLvl w:val="9"/>
    </w:pPr>
    <w:rPr>
      <w:sz w:val="26"/>
    </w:rPr>
  </w:style>
  <w:style w:type="paragraph" w:styleId="messagecaption">
    <w:name w:val="messagecaption"/>
    <w:basedOn w:val="text"/>
    <w:next w:val="text"/>
    <w:qFormat/>
    <w:pPr>
      <w:spacing w:lineRule="atLeast" w:line="0"/>
      <w:jc w:val="center"/>
    </w:pPr>
    <w:rPr>
      <w:b/>
      <w:caps/>
    </w:rPr>
  </w:style>
  <w:style w:type="paragraph" w:styleId="messagesubcaption">
    <w:name w:val="messagesubcaption"/>
    <w:basedOn w:val="text"/>
    <w:next w:val="text"/>
    <w:qFormat/>
    <w:pPr>
      <w:jc w:val="center"/>
    </w:pPr>
    <w:rPr>
      <w:b w:val="false"/>
      <w:caps w:val="false"/>
      <w:smallCaps w:val="false"/>
    </w:rPr>
  </w:style>
  <w:style w:type="paragraph" w:styleId="print">
    <w:name w:val="print"/>
    <w:basedOn w:val="Heading1"/>
    <w:next w:val="text"/>
    <w:qFormat/>
    <w:pPr>
      <w:numPr>
        <w:ilvl w:val="0"/>
        <w:numId w:val="0"/>
      </w:numPr>
      <w:ind w:hanging="0" w:start="0" w:end="0"/>
      <w:outlineLvl w:val="9"/>
    </w:pPr>
    <w:rPr/>
  </w:style>
  <w:style w:type="paragraph" w:styleId="printChapter">
    <w:name w:val="printChapter"/>
    <w:basedOn w:val="Heading2"/>
    <w:next w:val="text"/>
    <w:qFormat/>
    <w:pPr>
      <w:numPr>
        <w:ilvl w:val="0"/>
        <w:numId w:val="0"/>
      </w:numPr>
      <w:ind w:hanging="0" w:start="0" w:end="0"/>
      <w:outlineLvl w:val="9"/>
    </w:pPr>
    <w:rPr>
      <w:sz w:val="28"/>
    </w:rPr>
  </w:style>
  <w:style w:type="paragraph" w:styleId="printSubChapter">
    <w:name w:val="printSubChapter"/>
    <w:basedOn w:val="Heading3"/>
    <w:next w:val="text"/>
    <w:qFormat/>
    <w:pPr>
      <w:numPr>
        <w:ilvl w:val="0"/>
        <w:numId w:val="0"/>
      </w:numPr>
      <w:ind w:hanging="0" w:start="0" w:end="0"/>
      <w:outlineLvl w:val="9"/>
    </w:pPr>
    <w:rPr>
      <w:sz w:val="26"/>
    </w:rPr>
  </w:style>
  <w:style w:type="paragraph" w:styleId="variable">
    <w:name w:val="variable"/>
    <w:basedOn w:val="text"/>
    <w:next w:val="text"/>
    <w:qFormat/>
    <w:pPr/>
    <w:rPr>
      <w:b/>
    </w:rPr>
  </w:style>
  <w:style w:type="paragraph" w:styleId="Text1">
    <w:name w:val="Text1"/>
    <w:basedOn w:val="Caption"/>
    <w:qFormat/>
    <w:pPr/>
    <w:rPr/>
  </w:style>
  <w:style w:type="paragraph" w:styleId="centered">
    <w:name w:val="centered"/>
    <w:basedOn w:val="text"/>
    <w:next w:val="text"/>
    <w:qFormat/>
    <w:pPr>
      <w:jc w:val="center"/>
    </w:pPr>
    <w:rPr/>
  </w:style>
  <w:style w:type="paragraph" w:styleId="TableContents">
    <w:name w:val="Table Contents"/>
    <w:basedOn w:val="Normal"/>
    <w:qFormat/>
    <w:pPr>
      <w:widowControl w:val="false"/>
      <w:suppressLineNumbers/>
    </w:pPr>
    <w:rPr/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  <w:style w:type="paragraph" w:styleId="ListContents">
    <w:name w:val="List Contents"/>
    <w:basedOn w:val="Normal"/>
    <w:qFormat/>
    <w:pPr>
      <w:ind w:hanging="0" w:start="567" w:end="0"/>
    </w:pPr>
    <w:rPr/>
  </w:style>
  <w:style w:type="numbering" w:styleId="WW8Num1">
    <w:name w:val="WW8Num1"/>
    <w:qFormat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0</TotalTime>
  <Application>LibreOffice/25.8.3.2$Linux_X86_64 LibreOffice_project/580$Build-2</Application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2025-12-12T11:56:20Z</dcterms:created>
  <dc:creator/>
  <dc:description/>
  <dc:language>en-US</dc:language>
  <cp:lastModifiedBy/>
  <dcterms:modified xsi:type="dcterms:W3CDTF">2025-12-12T11:56:20Z</dcterms:modified>
  <cp:revision>2</cp:revision>
  <dc:subject/>
  <dc:title/>
</cp:coreProperties>
</file>