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ИТОГОВЫЙ ПРОТОКОЛ № 54/25-ОК</w:t>
      </w:r>
    </w:p>
    <w:p>
      <w:pPr>
        <w:pStyle w:val="Normal"/>
        <w:tabs>
          <w:tab w:val="clear" w:pos="709"/>
          <w:tab w:val="left" w:pos="0" w:leader="none"/>
        </w:tabs>
        <w:ind w:end="-2"/>
        <w:jc w:val="center"/>
        <w:rPr/>
      </w:pPr>
      <w:r>
        <w:rPr/>
        <w:t>по результатам</w:t>
      </w:r>
      <w:r>
        <w:rPr>
          <w:b/>
          <w:bCs/>
        </w:rPr>
        <w:t xml:space="preserve"> </w:t>
      </w:r>
      <w:r>
        <w:rPr/>
        <w:t xml:space="preserve">проведения открытого </w:t>
      </w:r>
      <w:r>
        <w:rPr>
          <w:iCs/>
        </w:rPr>
        <w:t xml:space="preserve">конкурса </w:t>
      </w:r>
      <w:r>
        <w:rPr/>
        <w:t xml:space="preserve">на право заключения договора на оказание услуг по добровольному медицинскому страхованию работников и ветеранов </w:t>
        <w:br/>
        <w:t>ФГУП «ТТЦ «Останкино»</w:t>
      </w:r>
    </w:p>
    <w:p>
      <w:pPr>
        <w:pStyle w:val="Normal"/>
        <w:tabs>
          <w:tab w:val="clear" w:pos="709"/>
          <w:tab w:val="left" w:pos="0" w:leader="none"/>
        </w:tabs>
        <w:ind w:end="-2"/>
        <w:jc w:val="center"/>
        <w:rPr/>
      </w:pPr>
      <w:r>
        <w:rPr/>
      </w:r>
    </w:p>
    <w:p>
      <w:pPr>
        <w:pStyle w:val="Normal"/>
        <w:tabs>
          <w:tab w:val="clear" w:pos="709"/>
          <w:tab w:val="left" w:pos="0" w:leader="none"/>
        </w:tabs>
        <w:ind w:end="-2"/>
        <w:jc w:val="center"/>
        <w:rPr/>
      </w:pPr>
      <w:r>
        <w:rPr/>
        <w:t>г. Москва</w:t>
        <w:tab/>
        <w:tab/>
        <w:tab/>
        <w:tab/>
        <w:tab/>
        <w:tab/>
        <w:tab/>
        <w:tab/>
        <w:t xml:space="preserve">      </w:t>
        <w:tab/>
        <w:t xml:space="preserve">       15 декабря 2025 года</w:t>
      </w:r>
    </w:p>
    <w:p>
      <w:pPr>
        <w:pStyle w:val="Normal"/>
        <w:tabs>
          <w:tab w:val="clear" w:pos="709"/>
          <w:tab w:val="left" w:pos="0" w:leader="none"/>
        </w:tabs>
        <w:ind w:end="-2"/>
        <w:jc w:val="center"/>
        <w:rPr/>
      </w:pPr>
      <w:r>
        <w:rPr/>
      </w:r>
    </w:p>
    <w:p>
      <w:pPr>
        <w:pStyle w:val="Normal"/>
        <w:tabs>
          <w:tab w:val="clear" w:pos="709"/>
          <w:tab w:val="left" w:pos="0" w:leader="none"/>
        </w:tabs>
        <w:ind w:firstLine="567" w:end="-2"/>
        <w:jc w:val="both"/>
        <w:rPr/>
      </w:pPr>
      <w:r>
        <w:rPr>
          <w:b/>
          <w:bCs/>
        </w:rPr>
        <w:t>Наименование закупки:</w:t>
      </w:r>
      <w:r>
        <w:rPr>
          <w:bCs/>
        </w:rPr>
        <w:t xml:space="preserve"> открытый конкурс на право заключения договора на оказание услуг по добровольному медицинскому страхованию работников и ветеранов </w:t>
        <w:br/>
        <w:t xml:space="preserve">ФГУП «ТТЦ «Останкино» </w:t>
      </w:r>
      <w:r>
        <w:rPr/>
        <w:t>(извещение № 32515468312 от 28</w:t>
      </w:r>
      <w:r>
        <w:rPr>
          <w:iCs/>
        </w:rPr>
        <w:t>.11.2025</w:t>
      </w:r>
      <w:r>
        <w:rPr/>
        <w:t>).</w:t>
      </w:r>
    </w:p>
    <w:p>
      <w:pPr>
        <w:pStyle w:val="Normal"/>
        <w:tabs>
          <w:tab w:val="clear" w:pos="709"/>
          <w:tab w:val="left" w:pos="0" w:leader="none"/>
        </w:tabs>
        <w:ind w:firstLine="567" w:end="-2"/>
        <w:jc w:val="center"/>
        <w:rPr>
          <w:highlight w:val="yellow"/>
        </w:rPr>
      </w:pPr>
      <w:r>
        <w:rPr>
          <w:highlight w:val="yellow"/>
        </w:rPr>
      </w:r>
    </w:p>
    <w:p>
      <w:pPr>
        <w:pStyle w:val="Normal"/>
        <w:widowControl w:val="false"/>
        <w:ind w:firstLine="567" w:end="0"/>
        <w:jc w:val="both"/>
        <w:rPr/>
      </w:pPr>
      <w:r>
        <w:rPr/>
        <w:t>На рассмотрении и оценке заявок присутствовало 7 членов комиссии. Кворум имеется, заседание комиссии правомочно.</w:t>
      </w:r>
    </w:p>
    <w:p>
      <w:pPr>
        <w:pStyle w:val="Normal"/>
        <w:widowControl w:val="false"/>
        <w:ind w:firstLine="567" w:end="0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"/>
        <w:ind w:firstLine="567" w:end="0"/>
        <w:jc w:val="both"/>
        <w:rPr/>
      </w:pPr>
      <w:r>
        <w:rPr/>
        <w:t>Процедура рассмотрения заявок и подведения итогов закупки проводится 15 декабря 2025 года по адресу: г. Москва, ул. Академика Королева, д. 12 и осуществляется в порядке, установленном конкурсной документацией.</w:t>
      </w:r>
    </w:p>
    <w:p>
      <w:pPr>
        <w:pStyle w:val="Normal"/>
        <w:ind w:firstLine="567" w:end="0"/>
        <w:jc w:val="both"/>
        <w:rPr/>
      </w:pPr>
      <w:r>
        <w:rPr/>
      </w:r>
    </w:p>
    <w:p>
      <w:pPr>
        <w:pStyle w:val="BodyText"/>
        <w:ind w:firstLine="567" w:end="-1"/>
        <w:jc w:val="both"/>
        <w:rPr/>
      </w:pPr>
      <w:r>
        <w:rPr/>
        <w:t>По вопросу повестки дня:</w:t>
      </w:r>
    </w:p>
    <w:p>
      <w:pPr>
        <w:pStyle w:val="BodyText"/>
        <w:ind w:firstLine="567" w:end="-1"/>
        <w:jc w:val="both"/>
        <w:rPr>
          <w:b/>
          <w:bCs/>
          <w:lang w:val="ru-RU"/>
        </w:rPr>
      </w:pPr>
      <w:r>
        <w:rPr>
          <w:bCs/>
          <w:lang w:val="ru-RU"/>
        </w:rPr>
        <w:t>Председатель</w:t>
      </w:r>
      <w:r>
        <w:rPr>
          <w:bCs/>
        </w:rPr>
        <w:t xml:space="preserve"> комиссии сообщил повестку дня и регламент заседания комиссии.</w:t>
      </w:r>
    </w:p>
    <w:p>
      <w:pPr>
        <w:pStyle w:val="BodyText"/>
        <w:ind w:firstLine="567" w:end="-1"/>
        <w:jc w:val="both"/>
        <w:rPr>
          <w:bCs/>
          <w:lang w:val="ru-RU"/>
        </w:rPr>
      </w:pPr>
      <w:r>
        <w:rPr>
          <w:bCs/>
        </w:rPr>
        <w:t>Замечаний и предложений по повестке дня и регламенту работы комиссии не поступало.</w:t>
      </w:r>
    </w:p>
    <w:p>
      <w:pPr>
        <w:pStyle w:val="33"/>
        <w:ind w:firstLine="567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Представлено три заявки от трёх участников закупки.</w:t>
      </w:r>
    </w:p>
    <w:p>
      <w:pPr>
        <w:pStyle w:val="33"/>
        <w:ind w:firstLine="567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</w:rPr>
        <w:t xml:space="preserve">Результаты </w:t>
      </w:r>
      <w:r>
        <w:rPr>
          <w:bCs/>
          <w:sz w:val="24"/>
          <w:szCs w:val="24"/>
          <w:lang w:val="ru-RU"/>
        </w:rPr>
        <w:t>рассмотрения заявок</w:t>
      </w:r>
      <w:r>
        <w:rPr>
          <w:bCs/>
          <w:sz w:val="24"/>
          <w:szCs w:val="24"/>
        </w:rPr>
        <w:t>, объявленные</w:t>
      </w:r>
      <w:r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на заседании</w:t>
      </w:r>
      <w:r>
        <w:rPr>
          <w:bCs/>
          <w:sz w:val="24"/>
          <w:szCs w:val="24"/>
          <w:lang w:val="ru-RU"/>
        </w:rPr>
        <w:t xml:space="preserve"> к</w:t>
      </w:r>
      <w:r>
        <w:rPr>
          <w:bCs/>
          <w:sz w:val="24"/>
          <w:szCs w:val="24"/>
        </w:rPr>
        <w:t>омиссии:</w:t>
      </w:r>
    </w:p>
    <w:p>
      <w:pPr>
        <w:pStyle w:val="33"/>
        <w:ind w:firstLine="567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33"/>
        <w:ind w:firstLine="426" w:end="0"/>
        <w:jc w:val="both"/>
        <w:rPr/>
      </w:pPr>
      <w:r>
        <w:rPr/>
        <w:t>Участник № 1:</w:t>
      </w:r>
    </w:p>
    <w:tbl>
      <w:tblPr>
        <w:tblW w:w="48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37"/>
        <w:gridCol w:w="2652"/>
      </w:tblGrid>
      <w:tr>
        <w:trPr>
          <w:trHeight w:val="643" w:hRule="atLeast"/>
        </w:trPr>
        <w:tc>
          <w:tcPr>
            <w:tcW w:w="6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Дата и время регистрации заявки</w:t>
            </w:r>
          </w:p>
        </w:tc>
        <w:tc>
          <w:tcPr>
            <w:tcW w:w="2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ind w:start="0" w:end="0"/>
              <w:jc w:val="center"/>
              <w:rPr/>
            </w:pPr>
            <w:r>
              <w:rPr/>
              <w:t xml:space="preserve">05.12.2025 </w:t>
            </w:r>
          </w:p>
          <w:p>
            <w:pPr>
              <w:pStyle w:val="Style25"/>
              <w:ind w:start="0" w:end="0"/>
              <w:jc w:val="center"/>
              <w:rPr/>
            </w:pPr>
            <w:r>
              <w:rPr/>
              <w:t>16:27</w:t>
            </w:r>
          </w:p>
        </w:tc>
      </w:tr>
    </w:tbl>
    <w:p>
      <w:pPr>
        <w:pStyle w:val="33"/>
        <w:tabs>
          <w:tab w:val="clear" w:pos="709"/>
          <w:tab w:val="left" w:pos="0" w:leader="none"/>
          <w:tab w:val="left" w:pos="426" w:leader="none"/>
        </w:tabs>
        <w:ind w:firstLine="426" w:end="0"/>
        <w:jc w:val="both"/>
        <w:rPr>
          <w:bCs/>
          <w:iCs/>
          <w:sz w:val="24"/>
          <w:szCs w:val="24"/>
          <w:lang w:val="ru-RU"/>
        </w:rPr>
      </w:pPr>
      <w:r>
        <w:rPr>
          <w:bCs/>
          <w:iCs/>
          <w:sz w:val="24"/>
          <w:szCs w:val="24"/>
          <w:lang w:val="ru-RU"/>
        </w:rPr>
      </w:r>
    </w:p>
    <w:p>
      <w:pPr>
        <w:pStyle w:val="33"/>
        <w:tabs>
          <w:tab w:val="clear" w:pos="709"/>
          <w:tab w:val="left" w:pos="0" w:leader="none"/>
          <w:tab w:val="left" w:pos="426" w:leader="none"/>
        </w:tabs>
        <w:ind w:firstLine="426" w:end="0"/>
        <w:jc w:val="both"/>
        <w:rPr/>
      </w:pPr>
      <w:r>
        <w:rPr>
          <w:bCs/>
          <w:iCs/>
          <w:sz w:val="24"/>
          <w:szCs w:val="24"/>
          <w:lang w:val="ru-RU"/>
        </w:rPr>
        <w:t>Предложение о цене договора</w:t>
      </w:r>
      <w:r>
        <w:rPr>
          <w:sz w:val="24"/>
          <w:szCs w:val="24"/>
          <w:lang w:val="ru-RU"/>
        </w:rPr>
        <w:t xml:space="preserve"> – 32 502 967,80 </w:t>
      </w:r>
      <w:r>
        <w:rPr>
          <w:bCs/>
          <w:sz w:val="24"/>
          <w:szCs w:val="24"/>
          <w:lang w:val="ru-RU"/>
        </w:rPr>
        <w:t xml:space="preserve">рублей </w:t>
      </w:r>
      <w:r>
        <w:rPr>
          <w:bCs/>
          <w:sz w:val="24"/>
          <w:szCs w:val="24"/>
        </w:rPr>
        <w:t>(</w:t>
      </w:r>
      <w:r>
        <w:rPr>
          <w:bCs/>
          <w:sz w:val="24"/>
          <w:szCs w:val="24"/>
          <w:lang w:val="ru-RU"/>
        </w:rPr>
        <w:t>Тридцать два миллиона пятьсот две тысячи девятьсот шестьдесят семь рублей 80 копеек</w:t>
      </w:r>
      <w:r>
        <w:rPr>
          <w:bCs/>
          <w:sz w:val="24"/>
          <w:szCs w:val="24"/>
        </w:rPr>
        <w:t>)</w:t>
      </w:r>
      <w:r>
        <w:rPr>
          <w:sz w:val="24"/>
          <w:szCs w:val="24"/>
        </w:rPr>
        <w:t>.</w:t>
      </w:r>
    </w:p>
    <w:p>
      <w:pPr>
        <w:pStyle w:val="33"/>
        <w:tabs>
          <w:tab w:val="clear" w:pos="709"/>
          <w:tab w:val="left" w:pos="0" w:leader="none"/>
          <w:tab w:val="left" w:pos="426" w:leader="none"/>
        </w:tabs>
        <w:ind w:firstLine="426" w:end="0"/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</w:p>
    <w:p>
      <w:pPr>
        <w:pStyle w:val="33"/>
        <w:ind w:firstLine="426" w:end="-1"/>
        <w:jc w:val="both"/>
        <w:rPr/>
      </w:pPr>
      <w:r>
        <w:rPr/>
        <w:t>Участник № 2:</w:t>
      </w:r>
    </w:p>
    <w:tbl>
      <w:tblPr>
        <w:tblW w:w="48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37"/>
        <w:gridCol w:w="2652"/>
      </w:tblGrid>
      <w:tr>
        <w:trPr>
          <w:trHeight w:val="660" w:hRule="atLeast"/>
        </w:trPr>
        <w:tc>
          <w:tcPr>
            <w:tcW w:w="6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Дата и время регистрации заявки</w:t>
            </w:r>
          </w:p>
        </w:tc>
        <w:tc>
          <w:tcPr>
            <w:tcW w:w="2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ind w:start="0" w:end="0"/>
              <w:jc w:val="center"/>
              <w:rPr/>
            </w:pPr>
            <w:r>
              <w:rPr/>
              <w:t xml:space="preserve">12.12.2025 </w:t>
            </w:r>
          </w:p>
          <w:p>
            <w:pPr>
              <w:pStyle w:val="Style25"/>
              <w:ind w:start="0" w:end="0"/>
              <w:jc w:val="center"/>
              <w:rPr/>
            </w:pPr>
            <w:r>
              <w:rPr/>
              <w:t>14:00</w:t>
            </w:r>
          </w:p>
        </w:tc>
      </w:tr>
    </w:tbl>
    <w:p>
      <w:pPr>
        <w:pStyle w:val="33"/>
        <w:tabs>
          <w:tab w:val="clear" w:pos="709"/>
          <w:tab w:val="left" w:pos="0" w:leader="none"/>
          <w:tab w:val="left" w:pos="426" w:leader="none"/>
        </w:tabs>
        <w:ind w:firstLine="426" w:end="0"/>
        <w:jc w:val="both"/>
        <w:rPr>
          <w:bCs/>
          <w:iCs/>
          <w:sz w:val="24"/>
          <w:szCs w:val="24"/>
          <w:lang w:val="ru-RU"/>
        </w:rPr>
      </w:pPr>
      <w:r>
        <w:rPr>
          <w:bCs/>
          <w:iCs/>
          <w:sz w:val="24"/>
          <w:szCs w:val="24"/>
          <w:lang w:val="ru-RU"/>
        </w:rPr>
      </w:r>
    </w:p>
    <w:p>
      <w:pPr>
        <w:pStyle w:val="33"/>
        <w:tabs>
          <w:tab w:val="clear" w:pos="709"/>
          <w:tab w:val="left" w:pos="0" w:leader="none"/>
          <w:tab w:val="left" w:pos="426" w:leader="none"/>
        </w:tabs>
        <w:ind w:firstLine="426" w:end="0"/>
        <w:jc w:val="both"/>
        <w:rPr/>
      </w:pPr>
      <w:r>
        <w:rPr>
          <w:bCs/>
          <w:iCs/>
          <w:sz w:val="24"/>
          <w:szCs w:val="24"/>
          <w:lang w:val="ru-RU"/>
        </w:rPr>
        <w:t>Предложение о цене договора</w:t>
      </w:r>
      <w:r>
        <w:rPr>
          <w:sz w:val="24"/>
          <w:szCs w:val="24"/>
          <w:lang w:val="ru-RU"/>
        </w:rPr>
        <w:t xml:space="preserve"> – 35 854 380,00 </w:t>
      </w:r>
      <w:r>
        <w:rPr>
          <w:bCs/>
          <w:sz w:val="24"/>
          <w:szCs w:val="24"/>
          <w:lang w:val="ru-RU"/>
        </w:rPr>
        <w:t xml:space="preserve">рублей </w:t>
      </w:r>
      <w:r>
        <w:rPr>
          <w:bCs/>
          <w:sz w:val="24"/>
          <w:szCs w:val="24"/>
        </w:rPr>
        <w:t>(</w:t>
      </w:r>
      <w:r>
        <w:rPr>
          <w:bCs/>
          <w:sz w:val="24"/>
          <w:szCs w:val="24"/>
          <w:lang w:val="ru-RU"/>
        </w:rPr>
        <w:t>Тридцать пять миллионов восемьсот пятьдесят четыре тысячи триста восемьдесят рублей 00 копеек</w:t>
      </w:r>
      <w:r>
        <w:rPr>
          <w:bCs/>
          <w:sz w:val="24"/>
          <w:szCs w:val="24"/>
        </w:rPr>
        <w:t>)</w:t>
      </w:r>
      <w:r>
        <w:rPr>
          <w:sz w:val="24"/>
          <w:szCs w:val="24"/>
        </w:rPr>
        <w:t>.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33"/>
        <w:ind w:firstLine="426" w:end="-1"/>
        <w:jc w:val="both"/>
        <w:rPr/>
      </w:pPr>
      <w:r>
        <w:rPr/>
        <w:t>Участник № 3:</w:t>
      </w:r>
    </w:p>
    <w:tbl>
      <w:tblPr>
        <w:tblW w:w="48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37"/>
        <w:gridCol w:w="2652"/>
      </w:tblGrid>
      <w:tr>
        <w:trPr>
          <w:trHeight w:val="660" w:hRule="atLeast"/>
        </w:trPr>
        <w:tc>
          <w:tcPr>
            <w:tcW w:w="6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Дата и время регистрации заявки</w:t>
            </w:r>
          </w:p>
        </w:tc>
        <w:tc>
          <w:tcPr>
            <w:tcW w:w="2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ind w:start="0" w:end="0"/>
              <w:jc w:val="center"/>
              <w:rPr/>
            </w:pPr>
            <w:r>
              <w:rPr/>
              <w:t xml:space="preserve">12.12.2025 </w:t>
            </w:r>
          </w:p>
          <w:p>
            <w:pPr>
              <w:pStyle w:val="Style25"/>
              <w:ind w:start="0" w:end="0"/>
              <w:jc w:val="center"/>
              <w:rPr/>
            </w:pPr>
            <w:r>
              <w:rPr/>
              <w:t>15:54</w:t>
            </w:r>
          </w:p>
        </w:tc>
      </w:tr>
    </w:tbl>
    <w:p>
      <w:pPr>
        <w:pStyle w:val="33"/>
        <w:tabs>
          <w:tab w:val="clear" w:pos="709"/>
          <w:tab w:val="left" w:pos="0" w:leader="none"/>
          <w:tab w:val="left" w:pos="426" w:leader="none"/>
        </w:tabs>
        <w:ind w:firstLine="426" w:end="0"/>
        <w:jc w:val="both"/>
        <w:rPr>
          <w:bCs/>
          <w:iCs/>
          <w:sz w:val="24"/>
          <w:szCs w:val="24"/>
          <w:lang w:val="ru-RU"/>
        </w:rPr>
      </w:pPr>
      <w:r>
        <w:rPr>
          <w:bCs/>
          <w:iCs/>
          <w:sz w:val="24"/>
          <w:szCs w:val="24"/>
          <w:lang w:val="ru-RU"/>
        </w:rPr>
      </w:r>
    </w:p>
    <w:p>
      <w:pPr>
        <w:pStyle w:val="33"/>
        <w:tabs>
          <w:tab w:val="clear" w:pos="709"/>
          <w:tab w:val="left" w:pos="0" w:leader="none"/>
          <w:tab w:val="left" w:pos="426" w:leader="none"/>
        </w:tabs>
        <w:ind w:firstLine="426" w:end="0"/>
        <w:jc w:val="both"/>
        <w:rPr/>
      </w:pPr>
      <w:r>
        <w:rPr>
          <w:bCs/>
          <w:iCs/>
          <w:sz w:val="24"/>
          <w:szCs w:val="24"/>
          <w:lang w:val="ru-RU"/>
        </w:rPr>
        <w:t>Предложение о цене договора</w:t>
      </w:r>
      <w:r>
        <w:rPr>
          <w:sz w:val="24"/>
          <w:szCs w:val="24"/>
          <w:lang w:val="ru-RU"/>
        </w:rPr>
        <w:t xml:space="preserve"> – 48 192 360,00 </w:t>
      </w:r>
      <w:r>
        <w:rPr>
          <w:bCs/>
          <w:sz w:val="24"/>
          <w:szCs w:val="24"/>
          <w:lang w:val="ru-RU"/>
        </w:rPr>
        <w:t xml:space="preserve">рублей </w:t>
      </w:r>
      <w:r>
        <w:rPr>
          <w:bCs/>
          <w:sz w:val="24"/>
          <w:szCs w:val="24"/>
        </w:rPr>
        <w:t>(</w:t>
      </w:r>
      <w:r>
        <w:rPr>
          <w:bCs/>
          <w:sz w:val="24"/>
          <w:szCs w:val="24"/>
          <w:lang w:val="ru-RU"/>
        </w:rPr>
        <w:t>Сорок восемь миллионов сто девяносто две тысячи триста шестьдесят рублей 00 копеек</w:t>
      </w:r>
      <w:r>
        <w:rPr>
          <w:bCs/>
          <w:sz w:val="24"/>
          <w:szCs w:val="24"/>
        </w:rPr>
        <w:t>)</w:t>
      </w:r>
      <w:r>
        <w:rPr>
          <w:sz w:val="24"/>
          <w:szCs w:val="24"/>
        </w:rPr>
        <w:t>.</w:t>
      </w:r>
    </w:p>
    <w:p>
      <w:pPr>
        <w:pStyle w:val="33"/>
        <w:ind w:firstLine="567" w:end="0"/>
        <w:jc w:val="both"/>
        <w:rPr>
          <w:bCs/>
          <w:iCs/>
          <w:sz w:val="24"/>
          <w:szCs w:val="24"/>
          <w:highlight w:val="yellow"/>
        </w:rPr>
      </w:pPr>
      <w:r>
        <w:rPr>
          <w:bCs/>
          <w:iCs/>
          <w:sz w:val="24"/>
          <w:szCs w:val="24"/>
          <w:highlight w:val="yellow"/>
        </w:rPr>
      </w:r>
    </w:p>
    <w:p>
      <w:pPr>
        <w:pStyle w:val="Normal"/>
        <w:ind w:firstLine="426" w:end="0"/>
        <w:jc w:val="both"/>
        <w:rPr/>
      </w:pPr>
      <w:r>
        <w:rPr/>
        <w:t xml:space="preserve">Комиссия рассмотрела </w:t>
      </w:r>
      <w:r>
        <w:rPr>
          <w:bCs/>
        </w:rPr>
        <w:t>заявки</w:t>
      </w:r>
      <w:r>
        <w:rPr/>
        <w:t xml:space="preserve"> на участие в закупке н</w:t>
      </w:r>
      <w:r>
        <w:rPr>
          <w:bCs/>
        </w:rPr>
        <w:t>а соответствие требованиям, установленным конкурсной документацией</w:t>
      </w:r>
      <w:r>
        <w:rPr/>
        <w:t xml:space="preserve">, и приняла решение: 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ind w:hanging="1919" w:start="2345" w:end="0"/>
        <w:jc w:val="both"/>
        <w:rPr/>
      </w:pPr>
      <w:r>
        <w:rPr/>
        <w:t>Допустить Участников № 1, № 2, № 3 к участию в открытом конкурсе.</w:t>
      </w:r>
    </w:p>
    <w:p>
      <w:pPr>
        <w:pStyle w:val="Normal"/>
        <w:ind w:start="2345" w:end="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  <w:tab w:val="left" w:pos="426" w:leader="none"/>
        </w:tabs>
        <w:ind w:hanging="1919" w:start="2345" w:end="0"/>
        <w:jc w:val="both"/>
        <w:rPr/>
      </w:pPr>
      <w:r>
        <w:rPr/>
        <w:t>Результаты рассмотрения и оценки комиссией заявок на участие в открытом конкурсе:</w:t>
      </w:r>
    </w:p>
    <w:p>
      <w:pPr>
        <w:pStyle w:val="ConsPlusNormal1"/>
        <w:widowControl/>
        <w:tabs>
          <w:tab w:val="clear" w:pos="709"/>
          <w:tab w:val="left" w:pos="426" w:leader="none"/>
        </w:tabs>
        <w:bidi w:val="0"/>
        <w:ind w:firstLine="426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 решении каждого члена комиссии о присвоении заявкам на участие в открытом конкурсе значений по каждому из критериев:</w:t>
      </w:r>
    </w:p>
    <w:p>
      <w:pPr>
        <w:pStyle w:val="ConsPlusNormal1"/>
        <w:widowControl/>
        <w:tabs>
          <w:tab w:val="clear" w:pos="709"/>
          <w:tab w:val="left" w:pos="426" w:leader="none"/>
        </w:tabs>
        <w:bidi w:val="0"/>
        <w:ind w:firstLine="426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16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1817"/>
        <w:gridCol w:w="3402"/>
        <w:gridCol w:w="1107"/>
      </w:tblGrid>
      <w:tr>
        <w:trPr>
          <w:trHeight w:val="723" w:hRule="atLeast"/>
        </w:trPr>
        <w:tc>
          <w:tcPr>
            <w:tcW w:w="28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sz w:val="22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1"/>
                <w:lang w:val="en-US" w:eastAsia="en-US"/>
              </w:rPr>
              <w:t xml:space="preserve">Наименование участника </w:t>
            </w:r>
            <w:r>
              <w:rPr>
                <w:rFonts w:cs="Times New Roman" w:ascii="Times New Roman" w:hAnsi="Times New Roman"/>
                <w:b/>
                <w:sz w:val="22"/>
                <w:szCs w:val="21"/>
              </w:rPr>
              <w:t>конкурса</w:t>
            </w:r>
          </w:p>
        </w:tc>
        <w:tc>
          <w:tcPr>
            <w:tcW w:w="52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1"/>
                <w:lang w:val="en-US" w:eastAsia="en-US"/>
              </w:rPr>
              <w:t>Оценка заявок на участие в конкурсе с учетом значимости критерия</w:t>
            </w:r>
          </w:p>
        </w:tc>
        <w:tc>
          <w:tcPr>
            <w:tcW w:w="11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start="-108" w:end="-129"/>
              <w:jc w:val="center"/>
              <w:rPr>
                <w:rFonts w:ascii="Times New Roman" w:hAnsi="Times New Roman" w:cs="Times New Roman"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1"/>
              </w:rPr>
              <w:t>Итоговая оценка</w:t>
            </w:r>
          </w:p>
        </w:tc>
      </w:tr>
      <w:tr>
        <w:trPr>
          <w:trHeight w:val="689" w:hRule="atLeast"/>
        </w:trPr>
        <w:tc>
          <w:tcPr>
            <w:tcW w:w="28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sz w:val="22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2"/>
                <w:szCs w:val="21"/>
                <w:highlight w:val="yellow"/>
                <w:lang w:val="en-US" w:eastAsia="en-US"/>
              </w:rPr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start="-142" w:end="-143"/>
              <w:jc w:val="center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 xml:space="preserve">Критерий 1. </w:t>
            </w:r>
          </w:p>
          <w:p>
            <w:pPr>
              <w:pStyle w:val="ConsPlusNormal1"/>
              <w:widowControl/>
              <w:bidi w:val="0"/>
              <w:ind w:hanging="0" w:start="-108" w:end="-107"/>
              <w:jc w:val="center"/>
              <w:rPr>
                <w:rFonts w:ascii="Times New Roman" w:hAnsi="Times New Roman" w:cs="Times New Roman"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Цена договора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 xml:space="preserve">Критерий 2. </w:t>
            </w:r>
          </w:p>
          <w:p>
            <w:pPr>
              <w:pStyle w:val="ConsPlusNormal1"/>
              <w:widowControl/>
              <w:bidi w:val="0"/>
              <w:ind w:hanging="0" w:start="-108" w:end="-108"/>
              <w:jc w:val="center"/>
              <w:rPr>
                <w:rFonts w:ascii="Times New Roman" w:hAnsi="Times New Roman" w:cs="Times New Roman"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Квалификация участника конкурса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both"/>
              <w:rPr>
                <w:rFonts w:ascii="Times New Roman" w:hAnsi="Times New Roman" w:cs="Times New Roman"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2"/>
                <w:szCs w:val="21"/>
                <w:lang w:val="en-US" w:eastAsia="en-US"/>
              </w:rPr>
            </w:r>
          </w:p>
        </w:tc>
      </w:tr>
      <w:tr>
        <w:trPr>
          <w:trHeight w:val="1251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sz w:val="22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 xml:space="preserve">Значимость критериев оценки заявок на участие в </w:t>
            </w:r>
            <w:r>
              <w:rPr>
                <w:rFonts w:cs="Times New Roman" w:ascii="Times New Roman" w:hAnsi="Times New Roman"/>
                <w:sz w:val="22"/>
                <w:szCs w:val="21"/>
              </w:rPr>
              <w:t xml:space="preserve">конкурсе, </w:t>
            </w: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%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</w:pPr>
            <w:r>
              <w:rPr>
                <w:rFonts w:cs="Times New Roman" w:ascii="Times New Roman" w:hAnsi="Times New Roman"/>
                <w:bCs/>
                <w:iCs/>
                <w:sz w:val="21"/>
                <w:szCs w:val="21"/>
              </w:rPr>
              <w:t>Ка</w:t>
            </w:r>
            <w:r>
              <w:rPr>
                <w:rFonts w:cs="Times New Roman" w:ascii="Times New Roman" w:hAnsi="Times New Roman"/>
                <w:bCs/>
                <w:iCs/>
                <w:sz w:val="21"/>
                <w:szCs w:val="21"/>
                <w:vertAlign w:val="sub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 = 0,40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Cs/>
                <w:i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Cs/>
                <w:iCs/>
                <w:sz w:val="21"/>
                <w:szCs w:val="21"/>
              </w:rPr>
              <w:t>К</w:t>
            </w:r>
            <w:r>
              <w:rPr>
                <w:rFonts w:cs="Times New Roman" w:ascii="Times New Roman" w:hAnsi="Times New Roman"/>
                <w:bCs/>
                <w:iCs/>
                <w:sz w:val="21"/>
                <w:szCs w:val="21"/>
                <w:lang w:val="en-US"/>
              </w:rPr>
              <w:t>c</w:t>
            </w:r>
            <w:r>
              <w:rPr>
                <w:rFonts w:cs="Times New Roman" w:ascii="Times New Roman" w:hAnsi="Times New Roman"/>
                <w:bCs/>
                <w:iCs/>
                <w:sz w:val="21"/>
                <w:szCs w:val="21"/>
                <w:vertAlign w:val="sub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 = 0,60</w:t>
            </w:r>
          </w:p>
        </w:tc>
        <w:tc>
          <w:tcPr>
            <w:tcW w:w="11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Cs/>
                <w:i/>
                <w:i/>
                <w:i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1"/>
                <w:szCs w:val="21"/>
              </w:rPr>
              <w:t xml:space="preserve">Q = Rai х Каi + Rci х Ксi </w:t>
            </w:r>
          </w:p>
        </w:tc>
      </w:tr>
      <w:tr>
        <w:trPr>
          <w:trHeight w:val="1157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2"/>
                <w:szCs w:val="21"/>
                <w:lang w:val="en-US" w:eastAsia="en-US"/>
              </w:rPr>
              <w:t>Формула для расчета баллов по критерию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pPr w:vertAnchor="text" w:horzAnchor="page" w:leftFromText="180" w:rightFromText="180" w:tblpX="1148" w:tblpY="-197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6"/>
              <w:gridCol w:w="850"/>
              <w:gridCol w:w="709"/>
            </w:tblGrid>
            <w:tr>
              <w:trPr>
                <w:trHeight w:val="262" w:hRule="atLeast"/>
              </w:trPr>
              <w:tc>
                <w:tcPr>
                  <w:tcW w:w="426" w:type="dxa"/>
                  <w:vMerge w:val="restart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ind w:end="-108"/>
                    <w:jc w:val="center"/>
                    <w:rPr>
                      <w:i/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  <w:lang w:val="en-US"/>
                    </w:rPr>
                    <w:t>R</w:t>
                  </w:r>
                  <w:r>
                    <w:rPr>
                      <w:i/>
                      <w:sz w:val="18"/>
                      <w:szCs w:val="18"/>
                      <w:vertAlign w:val="subscript"/>
                      <w:lang w:val="en-US"/>
                    </w:rPr>
                    <w:t>ai</w:t>
                  </w:r>
                  <w:r>
                    <w:rPr>
                      <w:i/>
                      <w:sz w:val="18"/>
                      <w:szCs w:val="18"/>
                      <w:vertAlign w:val="subscript"/>
                    </w:rPr>
                    <w:t>=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napToGrid w:val="false"/>
                    <w:ind w:hanging="108" w:end="-108"/>
                    <w:jc w:val="center"/>
                    <w:rPr>
                      <w:i/>
                      <w:i/>
                      <w:sz w:val="18"/>
                      <w:szCs w:val="18"/>
                      <w:lang w:val="en-US"/>
                    </w:rPr>
                  </w:pPr>
                  <w:r>
                    <w:rPr>
                      <w:i/>
                      <w:sz w:val="18"/>
                      <w:szCs w:val="18"/>
                      <w:lang w:val="en-US"/>
                    </w:rPr>
                  </w:r>
                </w:p>
                <w:p>
                  <w:pPr>
                    <w:pStyle w:val="Normal"/>
                    <w:widowControl w:val="false"/>
                    <w:ind w:hanging="108" w:end="-108"/>
                    <w:jc w:val="center"/>
                    <w:rPr/>
                  </w:pPr>
                  <w:r>
                    <w:rPr>
                      <w:i/>
                      <w:sz w:val="18"/>
                      <w:szCs w:val="18"/>
                      <w:lang w:val="en-US"/>
                    </w:rPr>
                    <w:t>Amax</w:t>
                  </w:r>
                  <w:r>
                    <w:rPr>
                      <w:i/>
                      <w:sz w:val="18"/>
                      <w:szCs w:val="18"/>
                    </w:rPr>
                    <w:t>-25%</w:t>
                  </w:r>
                </w:p>
              </w:tc>
              <w:tc>
                <w:tcPr>
                  <w:tcW w:w="709" w:type="dxa"/>
                  <w:vMerge w:val="restart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ind w:end="2"/>
                    <w:rPr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  <w:t>х 100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tcW w:w="426" w:type="dxa"/>
                  <w:vMerge w:val="continue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napToGrid w:val="false"/>
                    <w:ind w:end="2"/>
                    <w:jc w:val="center"/>
                    <w:rPr>
                      <w:i/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end="2"/>
                    <w:jc w:val="center"/>
                    <w:rPr>
                      <w:i/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bCs/>
                      <w:i/>
                      <w:iCs/>
                      <w:sz w:val="18"/>
                      <w:szCs w:val="18"/>
                      <w:lang w:val="en-US"/>
                    </w:rPr>
                    <w:t>i</w:t>
                  </w:r>
                </w:p>
              </w:tc>
              <w:tc>
                <w:tcPr>
                  <w:tcW w:w="709" w:type="dxa"/>
                  <w:vMerge w:val="continue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napToGrid w:val="false"/>
                    <w:ind w:end="2"/>
                    <w:jc w:val="center"/>
                    <w:rPr>
                      <w:i/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ind w:end="2"/>
              <w:rPr>
                <w:bCs/>
                <w:sz w:val="21"/>
                <w:szCs w:val="21"/>
                <w:lang w:val="en-US"/>
              </w:rPr>
            </w:pPr>
            <w:r>
              <w:rPr>
                <w:bCs/>
                <w:sz w:val="21"/>
                <w:szCs w:val="21"/>
                <w:lang w:val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i/>
                <w:i/>
                <w:sz w:val="21"/>
                <w:szCs w:val="21"/>
                <w:highlight w:val="yellow"/>
                <w:lang w:val="en-US"/>
              </w:rPr>
            </w:pPr>
            <w:r>
              <w:rPr>
                <w:rFonts w:cs="Times New Roman" w:ascii="Times New Roman" w:hAnsi="Times New Roman"/>
                <w:i/>
                <w:sz w:val="21"/>
                <w:szCs w:val="21"/>
                <w:lang w:val="en-GB"/>
              </w:rPr>
              <w:t xml:space="preserve">Rci= 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lang w:val="en-US"/>
              </w:rPr>
              <w:t>C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per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GB"/>
              </w:rPr>
              <w:t>1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lang w:val="en-GB"/>
              </w:rPr>
              <w:t>+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GB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lang w:val="en-US"/>
              </w:rPr>
              <w:t>C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per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GB"/>
              </w:rPr>
              <w:t>2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lang w:val="en-GB"/>
              </w:rPr>
              <w:t>+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GB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lang w:val="en-US"/>
              </w:rPr>
              <w:t>C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per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GB"/>
              </w:rPr>
              <w:t>3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tabs>
                <w:tab w:val="left" w:pos="360" w:leader="none"/>
                <w:tab w:val="left" w:pos="1980" w:leader="none"/>
              </w:tabs>
              <w:snapToGrid w:val="false"/>
              <w:spacing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/>
                <w:i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707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2"/>
                <w:szCs w:val="21"/>
                <w:lang w:val="en-US" w:eastAsia="en-US"/>
              </w:rPr>
              <w:t>Итоговый рейтинг заявки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i/>
                <w:sz w:val="21"/>
                <w:szCs w:val="21"/>
                <w:lang w:val="en-US"/>
              </w:rPr>
              <w:t>Ra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lang w:val="en-US"/>
              </w:rPr>
              <w:t>×Ka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US"/>
              </w:rPr>
              <w:t>i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i/>
                <w:i/>
                <w:sz w:val="21"/>
                <w:szCs w:val="21"/>
                <w:highlight w:val="yellow"/>
                <w:lang w:val="en-US"/>
              </w:rPr>
            </w:pPr>
            <w:r>
              <w:rPr>
                <w:rFonts w:cs="Times New Roman" w:ascii="Times New Roman" w:hAnsi="Times New Roman"/>
                <w:i/>
                <w:sz w:val="21"/>
                <w:szCs w:val="21"/>
                <w:lang w:val="en-US"/>
              </w:rPr>
              <w:t>Rc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US"/>
              </w:rPr>
              <w:t>i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lang w:val="en-US"/>
              </w:rPr>
              <w:t>×</w:t>
            </w:r>
            <w:r>
              <w:rPr>
                <w:rFonts w:cs="Times New Roman" w:ascii="Times New Roman" w:hAnsi="Times New Roman"/>
                <w:i/>
                <w:sz w:val="21"/>
                <w:szCs w:val="21"/>
              </w:rPr>
              <w:t>Кс</w:t>
            </w:r>
            <w:r>
              <w:rPr>
                <w:rFonts w:cs="Times New Roman" w:ascii="Times New Roman" w:hAnsi="Times New Roman"/>
                <w:i/>
                <w:sz w:val="21"/>
                <w:szCs w:val="21"/>
                <w:vertAlign w:val="subscript"/>
                <w:lang w:val="en-US"/>
              </w:rPr>
              <w:t>i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tabs>
                <w:tab w:val="left" w:pos="360" w:leader="none"/>
                <w:tab w:val="left" w:pos="1980" w:leader="none"/>
              </w:tabs>
              <w:snapToGrid w:val="false"/>
              <w:spacing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21"/>
                <w:szCs w:val="21"/>
                <w:highlight w:val="yellow"/>
                <w:lang w:val="en-US"/>
              </w:rPr>
            </w:pPr>
            <w:r>
              <w:rPr>
                <w:rFonts w:cs="Times New Roman"/>
                <w:i/>
                <w:sz w:val="21"/>
                <w:szCs w:val="21"/>
                <w:highlight w:val="yellow"/>
                <w:lang w:val="en-US"/>
              </w:rPr>
            </w:r>
          </w:p>
        </w:tc>
      </w:tr>
      <w:tr>
        <w:trPr>
          <w:trHeight w:val="547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ind w:start="-116" w:end="-47"/>
              <w:jc w:val="center"/>
              <w:rPr>
                <w:b/>
                <w:sz w:val="22"/>
                <w:szCs w:val="21"/>
                <w:highlight w:val="yellow"/>
                <w:lang w:val="ru-RU" w:eastAsia="ru-RU"/>
              </w:rPr>
            </w:pPr>
            <w:r>
              <w:rPr>
                <w:b/>
                <w:bCs/>
                <w:iCs/>
                <w:sz w:val="22"/>
                <w:szCs w:val="21"/>
                <w:lang w:val="ru-RU"/>
              </w:rPr>
              <w:t>Участник № 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  <w:highlight w:val="yellow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  <w:highlight w:val="yellow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1"/>
              </w:rPr>
              <w:t>60,00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sz w:val="22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1"/>
                <w:lang w:val="en-US" w:eastAsia="en-US"/>
              </w:rPr>
              <w:t>100,00</w:t>
            </w:r>
          </w:p>
        </w:tc>
      </w:tr>
      <w:tr>
        <w:trPr>
          <w:trHeight w:val="416" w:hRule="atLeast"/>
        </w:trPr>
        <w:tc>
          <w:tcPr>
            <w:tcW w:w="91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2"/>
                <w:szCs w:val="21"/>
                <w:lang w:val="en-US" w:eastAsia="en-US"/>
              </w:rPr>
              <w:t>Сведения о решении каждого члена комиссии:</w:t>
            </w:r>
          </w:p>
        </w:tc>
      </w:tr>
      <w:tr>
        <w:trPr>
          <w:trHeight w:val="7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Прокофьев А.Е.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/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7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Григорьян А.А.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7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Потапова Н.М.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7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Красильникова Ю.В.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7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Мазнева Н.Н.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7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Потапова Т.А.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7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Чечет А.А.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snapToGrid w:val="false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39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ind w:start="-128" w:end="-108"/>
              <w:jc w:val="center"/>
              <w:rPr>
                <w:b/>
                <w:sz w:val="22"/>
                <w:szCs w:val="21"/>
                <w:highlight w:val="yellow"/>
                <w:lang w:val="ru-RU" w:eastAsia="ru-RU"/>
              </w:rPr>
            </w:pPr>
            <w:r>
              <w:rPr>
                <w:b/>
                <w:bCs/>
                <w:iCs/>
                <w:sz w:val="22"/>
                <w:szCs w:val="21"/>
              </w:rPr>
              <w:t xml:space="preserve">Участник № </w:t>
            </w:r>
            <w:r>
              <w:rPr>
                <w:b/>
                <w:bCs/>
                <w:iCs/>
                <w:sz w:val="22"/>
                <w:szCs w:val="21"/>
                <w:lang w:val="ru-RU"/>
              </w:rPr>
              <w:t>2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  <w:highlight w:val="yellow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  <w:highlight w:val="yellow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1"/>
              </w:rPr>
              <w:t>60,00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sz w:val="22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1"/>
                <w:lang w:val="en-US" w:eastAsia="en-US"/>
              </w:rPr>
              <w:t>100,00</w:t>
            </w:r>
          </w:p>
        </w:tc>
      </w:tr>
      <w:tr>
        <w:trPr>
          <w:trHeight w:val="403" w:hRule="atLeast"/>
        </w:trPr>
        <w:tc>
          <w:tcPr>
            <w:tcW w:w="91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2"/>
                <w:szCs w:val="21"/>
                <w:lang w:val="en-US" w:eastAsia="en-US"/>
              </w:rPr>
              <w:t>Сведения о решении каждого члена комиссии:</w:t>
            </w:r>
          </w:p>
        </w:tc>
      </w:tr>
      <w:tr>
        <w:trPr>
          <w:trHeight w:val="211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Прокофьев А.Е.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6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Григорьян А.А.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6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Потапова Н.М.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34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Красильникова Ю.В.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97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Мазнева Н.Н.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Потапова Т.А.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Чечет А.А.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40,00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496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ind w:start="-128" w:end="-108"/>
              <w:jc w:val="center"/>
              <w:rPr>
                <w:b/>
                <w:sz w:val="22"/>
                <w:szCs w:val="21"/>
                <w:highlight w:val="yellow"/>
                <w:lang w:val="ru-RU" w:eastAsia="ru-RU"/>
              </w:rPr>
            </w:pPr>
            <w:r>
              <w:rPr>
                <w:b/>
                <w:bCs/>
                <w:iCs/>
                <w:sz w:val="22"/>
                <w:szCs w:val="21"/>
              </w:rPr>
              <w:t xml:space="preserve">Участник № </w:t>
            </w:r>
            <w:r>
              <w:rPr>
                <w:b/>
                <w:bCs/>
                <w:iCs/>
                <w:sz w:val="22"/>
                <w:szCs w:val="21"/>
                <w:lang w:val="ru-RU"/>
              </w:rPr>
              <w:t>3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1"/>
                <w:highlight w:val="yellow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1"/>
              </w:rPr>
              <w:t>60,00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widowControl/>
              <w:bidi w:val="0"/>
              <w:ind w:hanging="0" w:end="0"/>
              <w:jc w:val="center"/>
              <w:rPr>
                <w:rFonts w:ascii="Times New Roman" w:hAnsi="Times New Roman" w:cs="Times New Roman"/>
                <w:b/>
                <w:sz w:val="22"/>
                <w:szCs w:val="21"/>
                <w:highlight w:val="yellow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1"/>
                <w:lang w:val="en-US" w:eastAsia="en-US"/>
              </w:rPr>
              <w:t>90,02</w:t>
            </w:r>
          </w:p>
        </w:tc>
      </w:tr>
      <w:tr>
        <w:trPr>
          <w:trHeight w:val="463" w:hRule="atLeast"/>
        </w:trPr>
        <w:tc>
          <w:tcPr>
            <w:tcW w:w="91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1"/>
                <w:szCs w:val="21"/>
                <w:highlight w:val="yellow"/>
              </w:rPr>
            </w:pPr>
            <w:r>
              <w:rPr>
                <w:sz w:val="22"/>
                <w:szCs w:val="21"/>
                <w:lang w:val="en-US" w:eastAsia="en-US"/>
              </w:rPr>
              <w:t>Сведения о решении каждого члена комиссии:</w:t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Прокофьев А.Е.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Григорьян А.А.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</w:rPr>
              <w:t>Потапова Н.М.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Красильникова Ю.В.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Мазнева Н.Н.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Потапова Т.А.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  <w:tr>
        <w:trPr>
          <w:trHeight w:val="115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sPlusNormal1"/>
              <w:bidi w:val="0"/>
              <w:ind w:hanging="0" w:end="0"/>
              <w:jc w:val="start"/>
              <w:rPr>
                <w:rFonts w:ascii="Times New Roman" w:hAnsi="Times New Roman" w:cs="Times New Roman"/>
                <w:bCs/>
                <w:sz w:val="22"/>
                <w:szCs w:val="21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1"/>
                <w:lang w:val="en-US" w:eastAsia="en-US"/>
              </w:rPr>
              <w:t>Чечет А.А.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2"/>
                <w:szCs w:val="21"/>
              </w:rPr>
            </w:pPr>
            <w:r>
              <w:rPr>
                <w:bCs/>
                <w:sz w:val="22"/>
                <w:szCs w:val="21"/>
              </w:rPr>
              <w:t>30,02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1" w:end="-105"/>
              <w:jc w:val="center"/>
              <w:rPr>
                <w:sz w:val="22"/>
                <w:szCs w:val="21"/>
                <w:lang w:val="en-US" w:eastAsia="en-US"/>
              </w:rPr>
            </w:pPr>
            <w:r>
              <w:rPr>
                <w:sz w:val="22"/>
                <w:szCs w:val="21"/>
                <w:lang w:val="en-US" w:eastAsia="en-US"/>
              </w:rPr>
              <w:t>(30,00+35,00+35,00)х0,60=60,00</w:t>
            </w:r>
          </w:p>
        </w:tc>
        <w:tc>
          <w:tcPr>
            <w:tcW w:w="11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1"/>
                <w:szCs w:val="21"/>
                <w:highlight w:val="yellow"/>
                <w:lang w:val="en-US" w:eastAsia="en-US"/>
              </w:rPr>
            </w:pPr>
            <w:r>
              <w:rPr>
                <w:sz w:val="21"/>
                <w:szCs w:val="21"/>
                <w:highlight w:val="yellow"/>
                <w:lang w:val="en-US" w:eastAsia="en-US"/>
              </w:rPr>
            </w:r>
          </w:p>
        </w:tc>
      </w:tr>
    </w:tbl>
    <w:p>
      <w:pPr>
        <w:pStyle w:val="Normal"/>
        <w:jc w:val="both"/>
        <w:rPr/>
      </w:pPr>
      <w:r>
        <w:rPr/>
        <w:t xml:space="preserve">    </w:t>
      </w:r>
    </w:p>
    <w:p>
      <w:pPr>
        <w:pStyle w:val="33"/>
        <w:ind w:firstLine="426" w:end="-1"/>
        <w:jc w:val="both"/>
        <w:rPr>
          <w:sz w:val="24"/>
          <w:szCs w:val="24"/>
        </w:rPr>
      </w:pPr>
      <w:r>
        <w:rPr>
          <w:sz w:val="24"/>
          <w:szCs w:val="24"/>
        </w:rPr>
        <w:t>В случае, если в нескольких заявках на участие в конкурсе содержатся одинаковые условия исполнения договора, меньший порядковый номер присваивается заявке на участие в конкурсе, которая поступила ранее других заявок на участие в конкурсе, содержащих такие условия.</w:t>
      </w:r>
    </w:p>
    <w:p>
      <w:pPr>
        <w:pStyle w:val="Normal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jc w:val="both"/>
        <w:rPr/>
      </w:pPr>
      <w:r>
        <w:rPr/>
        <w:t xml:space="preserve">   </w:t>
      </w:r>
      <w:r>
        <w:rPr>
          <w:bCs/>
        </w:rPr>
        <w:t>3. Комиссия приняла решение: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 w:eastAsia="ru-RU"/>
        </w:rPr>
      </w:pPr>
      <w:r>
        <w:rPr>
          <w:bCs/>
          <w:sz w:val="24"/>
          <w:szCs w:val="24"/>
          <w:lang w:val="ru-RU" w:eastAsia="ru-RU"/>
        </w:rPr>
        <w:t>Присвоить первый номер заявке и признать победителем открытого конкурса                Участника № 1.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 w:eastAsia="ru-RU"/>
        </w:rPr>
      </w:pPr>
      <w:r>
        <w:rPr>
          <w:bCs/>
          <w:sz w:val="24"/>
          <w:szCs w:val="24"/>
          <w:lang w:val="ru-RU" w:eastAsia="ru-RU"/>
        </w:rPr>
        <w:t>Второй номер присвоить заявке, поступившей от Участника № 2.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 w:eastAsia="ru-RU"/>
        </w:rPr>
      </w:pPr>
      <w:r>
        <w:rPr>
          <w:bCs/>
          <w:sz w:val="24"/>
          <w:szCs w:val="24"/>
          <w:lang w:val="ru-RU" w:eastAsia="ru-RU"/>
        </w:rPr>
        <w:t>Третий номер присвоить заявке, поступившей от Участника № 3.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 w:eastAsia="ru-RU"/>
        </w:rPr>
      </w:pPr>
      <w:r>
        <w:rPr>
          <w:bCs/>
          <w:sz w:val="24"/>
          <w:szCs w:val="24"/>
          <w:lang w:val="ru-RU" w:eastAsia="ru-RU"/>
        </w:rPr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 w:eastAsia="ru-RU"/>
        </w:rPr>
      </w:pPr>
      <w:r>
        <w:rPr>
          <w:bCs/>
          <w:sz w:val="24"/>
          <w:szCs w:val="24"/>
          <w:lang w:val="ru-RU" w:eastAsia="ru-RU"/>
        </w:rPr>
        <w:t>Рекомендовать заказчику направить победителю проект договора, который составляется путём включения условий исполнения договора, предложенных победителем открытого конкурса.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 w:eastAsia="ru-RU"/>
        </w:rPr>
      </w:pPr>
      <w:r>
        <w:rPr>
          <w:bCs/>
          <w:sz w:val="24"/>
          <w:szCs w:val="24"/>
          <w:lang w:val="ru-RU" w:eastAsia="ru-RU"/>
        </w:rPr>
      </w:r>
    </w:p>
    <w:p>
      <w:pPr>
        <w:pStyle w:val="Normal"/>
        <w:autoSpaceDE w:val="false"/>
        <w:ind w:firstLine="426" w:end="0"/>
        <w:jc w:val="both"/>
        <w:rPr/>
      </w:pPr>
      <w:r>
        <w:rPr/>
        <w:t>Настоящий протокол подлежит размещению в единой информационной системе в сфере закупок.</w:t>
      </w:r>
    </w:p>
    <w:p>
      <w:pPr>
        <w:pStyle w:val="Normal"/>
        <w:autoSpaceDE w:val="false"/>
        <w:ind w:firstLine="284" w:end="0"/>
        <w:jc w:val="both"/>
        <w:rPr/>
      </w:pPr>
      <w:r>
        <w:rPr/>
      </w:r>
    </w:p>
    <w:p>
      <w:pPr>
        <w:pStyle w:val="Normal"/>
        <w:autoSpaceDE w:val="false"/>
        <w:ind w:firstLine="284" w:end="0"/>
        <w:jc w:val="both"/>
        <w:rPr/>
      </w:pPr>
      <w:r>
        <w:rPr/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09"/>
        <w:gridCol w:w="2562"/>
        <w:gridCol w:w="2520"/>
      </w:tblGrid>
      <w:tr>
        <w:trPr>
          <w:trHeight w:val="23" w:hRule="atLeast"/>
        </w:trPr>
        <w:tc>
          <w:tcPr>
            <w:tcW w:w="4209" w:type="dxa"/>
            <w:tcBorders/>
          </w:tcPr>
          <w:p>
            <w:pPr>
              <w:pStyle w:val="Normal"/>
              <w:autoSpaceDE w:val="false"/>
              <w:jc w:val="both"/>
              <w:rPr/>
            </w:pPr>
            <w:r>
              <w:rPr/>
              <w:t>Председатель комиссии:</w:t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___________________</w:t>
            </w:r>
          </w:p>
        </w:tc>
        <w:tc>
          <w:tcPr>
            <w:tcW w:w="2520" w:type="dxa"/>
            <w:tcBorders/>
          </w:tcPr>
          <w:p>
            <w:pPr>
              <w:pStyle w:val="Normal"/>
              <w:autoSpaceDE w:val="false"/>
              <w:jc w:val="both"/>
              <w:rPr>
                <w:bCs/>
              </w:rPr>
            </w:pPr>
            <w:r>
              <w:rPr>
                <w:bCs/>
              </w:rPr>
              <w:t>А.Е. Прокофьев</w:t>
            </w:r>
          </w:p>
        </w:tc>
      </w:tr>
      <w:tr>
        <w:trPr>
          <w:trHeight w:val="364" w:hRule="atLeast"/>
        </w:trPr>
        <w:tc>
          <w:tcPr>
            <w:tcW w:w="4209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Заместитель Председателя комиссии:</w:t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А.А. Григорьян</w:t>
            </w:r>
          </w:p>
        </w:tc>
      </w:tr>
      <w:tr>
        <w:trPr>
          <w:trHeight w:val="23" w:hRule="atLeast"/>
        </w:trPr>
        <w:tc>
          <w:tcPr>
            <w:tcW w:w="4209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Секретарь комиссии:</w:t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Н.М. Потапова</w:t>
            </w:r>
          </w:p>
        </w:tc>
      </w:tr>
      <w:tr>
        <w:trPr>
          <w:trHeight w:val="23" w:hRule="atLeast"/>
        </w:trPr>
        <w:tc>
          <w:tcPr>
            <w:tcW w:w="4209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Члены комиссии:</w:t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Ю.В. Красильникова</w:t>
            </w:r>
          </w:p>
        </w:tc>
      </w:tr>
      <w:tr>
        <w:trPr>
          <w:trHeight w:val="23" w:hRule="atLeast"/>
        </w:trPr>
        <w:tc>
          <w:tcPr>
            <w:tcW w:w="4209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  <w:p>
            <w:pPr>
              <w:pStyle w:val="Normal"/>
              <w:autoSpaceDE w:val="false"/>
              <w:rPr/>
            </w:pPr>
            <w:r>
              <w:rPr/>
              <w:t>Н.Н. Мазнева</w:t>
            </w:r>
          </w:p>
        </w:tc>
      </w:tr>
      <w:tr>
        <w:trPr>
          <w:trHeight w:val="23" w:hRule="atLeast"/>
        </w:trPr>
        <w:tc>
          <w:tcPr>
            <w:tcW w:w="4209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Т.А. Потапова</w:t>
            </w:r>
          </w:p>
        </w:tc>
      </w:tr>
      <w:tr>
        <w:trPr>
          <w:trHeight w:val="23" w:hRule="atLeast"/>
        </w:trPr>
        <w:tc>
          <w:tcPr>
            <w:tcW w:w="4209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>
                <w:i/>
                <w:i/>
                <w:iCs/>
                <w:vertAlign w:val="superscript"/>
              </w:rPr>
            </w:pPr>
            <w:r>
              <w:rPr>
                <w:i/>
                <w:iCs/>
                <w:vertAlign w:val="superscript"/>
              </w:rPr>
              <w:t>(Подпись)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</w:tr>
      <w:tr>
        <w:trPr>
          <w:trHeight w:val="23" w:hRule="atLeast"/>
        </w:trPr>
        <w:tc>
          <w:tcPr>
            <w:tcW w:w="4209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___________________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А.А. Чечет</w:t>
            </w:r>
          </w:p>
        </w:tc>
      </w:tr>
      <w:tr>
        <w:trPr>
          <w:trHeight w:val="23" w:hRule="atLeast"/>
        </w:trPr>
        <w:tc>
          <w:tcPr>
            <w:tcW w:w="420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2562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</w:t>
            </w:r>
          </w:p>
        </w:tc>
        <w:tc>
          <w:tcPr>
            <w:tcW w:w="2520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autoSpaceDE w:val="false"/>
        <w:jc w:val="both"/>
        <w:rPr>
          <w:i/>
          <w:i/>
          <w:iCs/>
          <w:vertAlign w:val="superscript"/>
        </w:rPr>
      </w:pPr>
      <w:r>
        <w:rPr>
          <w:i/>
          <w:iCs/>
          <w:vertAlign w:val="superscript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276" w:right="849" w:gutter="0" w:header="426" w:top="1135" w:footer="124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227"/>
        </w:tabs>
        <w:ind w:start="0" w:hanging="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234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2z1">
    <w:name w:val="WW8Num2z1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cs="Times New Roman"/>
    </w:rPr>
  </w:style>
  <w:style w:type="character" w:styleId="WW8Num6z1">
    <w:name w:val="WW8Num6z1"/>
    <w:qFormat/>
    <w:rPr>
      <w:rFonts w:cs="Times New Roman"/>
    </w:rPr>
  </w:style>
  <w:style w:type="character" w:styleId="WW8Num7z0">
    <w:name w:val="WW8Num7z0"/>
    <w:qFormat/>
    <w:rPr>
      <w:rFonts w:cs="Times New Roman"/>
      <w:b/>
      <w:bCs/>
    </w:rPr>
  </w:style>
  <w:style w:type="character" w:styleId="WW8Num7z1">
    <w:name w:val="WW8Num7z1"/>
    <w:qFormat/>
    <w:rPr>
      <w:rFonts w:cs="Times New Roman"/>
    </w:rPr>
  </w:style>
  <w:style w:type="character" w:styleId="WW8Num9z0">
    <w:name w:val="WW8Num9z0"/>
    <w:qFormat/>
    <w:rPr>
      <w:rFonts w:cs="Times New Roman"/>
    </w:rPr>
  </w:style>
  <w:style w:type="character" w:styleId="WW8Num9z1">
    <w:name w:val="WW8Num9z1"/>
    <w:qFormat/>
    <w:rPr>
      <w:rFonts w:cs="Times New Roman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Times New Roman" w:hAnsi="Times New Roman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Times New Roman" w:hAnsi="Times New Roman" w:eastAsia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Times New Roman" w:hAnsi="Times New Roman" w:eastAsia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2z0">
    <w:name w:val="WW8Num32z0"/>
    <w:qFormat/>
    <w:rPr>
      <w:rFonts w:cs="Times New Roman"/>
    </w:rPr>
  </w:style>
  <w:style w:type="character" w:styleId="WW8Num32z1">
    <w:name w:val="WW8Num32z1"/>
    <w:qFormat/>
    <w:rPr>
      <w:rFonts w:cs="Times New Roman"/>
    </w:rPr>
  </w:style>
  <w:style w:type="character" w:styleId="WW8Num33z0">
    <w:name w:val="WW8Num33z0"/>
    <w:qFormat/>
    <w:rPr>
      <w:rFonts w:ascii="Times New Roman" w:hAnsi="Times New Roman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cs="Times New Roman"/>
      <w:b/>
    </w:rPr>
  </w:style>
  <w:style w:type="character" w:styleId="WW8Num34z1">
    <w:name w:val="WW8Num34z1"/>
    <w:qFormat/>
    <w:rPr>
      <w:rFonts w:cs="Times New Roman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1">
    <w:name w:val="WW8Num35z1"/>
    <w:qFormat/>
    <w:rPr>
      <w:rFonts w:cs="Times New Roman"/>
      <w:b/>
      <w:bCs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5z4">
    <w:name w:val="WW8Num35z4"/>
    <w:qFormat/>
    <w:rPr>
      <w:rFonts w:ascii="Courier New" w:hAnsi="Courier New" w:cs="Courier New"/>
    </w:rPr>
  </w:style>
  <w:style w:type="character" w:styleId="WW8Num36z0">
    <w:name w:val="WW8Num36z0"/>
    <w:qFormat/>
    <w:rPr>
      <w:rFonts w:cs="Times New Roman"/>
    </w:rPr>
  </w:style>
  <w:style w:type="character" w:styleId="WW8Num36z1">
    <w:name w:val="WW8Num36z1"/>
    <w:qFormat/>
    <w:rPr>
      <w:rFonts w:cs="Times New Roman"/>
    </w:rPr>
  </w:style>
  <w:style w:type="character" w:styleId="WW8Num37z0">
    <w:name w:val="WW8Num37z0"/>
    <w:qFormat/>
    <w:rPr>
      <w:rFonts w:cs="Times New Roman"/>
    </w:rPr>
  </w:style>
  <w:style w:type="character" w:styleId="WW8Num37z1">
    <w:name w:val="WW8Num37z1"/>
    <w:qFormat/>
    <w:rPr>
      <w:rFonts w:cs="Times New Roman"/>
    </w:rPr>
  </w:style>
  <w:style w:type="character" w:styleId="WW8Num38z0">
    <w:name w:val="WW8Num38z0"/>
    <w:qFormat/>
    <w:rPr>
      <w:rFonts w:cs="Times New Roman"/>
    </w:rPr>
  </w:style>
  <w:style w:type="character" w:styleId="WW8Num38z1">
    <w:name w:val="WW8Num38z1"/>
    <w:qFormat/>
    <w:rPr>
      <w:rFonts w:cs="Times New Roman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rFonts w:cs="Times New Roman"/>
      <w:b/>
      <w:sz w:val="28"/>
      <w:szCs w:val="28"/>
    </w:rPr>
  </w:style>
  <w:style w:type="character" w:styleId="WW8Num40z1">
    <w:name w:val="WW8Num40z1"/>
    <w:qFormat/>
    <w:rPr>
      <w:rFonts w:ascii="Times New Roman" w:hAnsi="Times New Roman" w:cs="Times New Roman"/>
      <w:b/>
      <w:i w:val="false"/>
      <w:sz w:val="26"/>
    </w:rPr>
  </w:style>
  <w:style w:type="character" w:styleId="WW8Num40z2">
    <w:name w:val="WW8Num40z2"/>
    <w:qFormat/>
    <w:rPr>
      <w:rFonts w:cs="Times New Roman"/>
    </w:rPr>
  </w:style>
  <w:style w:type="character" w:styleId="WW8Num41z0">
    <w:name w:val="WW8Num41z0"/>
    <w:qFormat/>
    <w:rPr/>
  </w:style>
  <w:style w:type="character" w:styleId="WW8Num42z0">
    <w:name w:val="WW8Num42z0"/>
    <w:qFormat/>
    <w:rPr>
      <w:rFonts w:ascii="Times New Roman" w:hAnsi="Times New Roman" w:eastAsia="Times New Roman" w:cs="Times New Roman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43z0">
    <w:name w:val="WW8Num43z0"/>
    <w:qFormat/>
    <w:rPr/>
  </w:style>
  <w:style w:type="character" w:styleId="WW8Num44z0">
    <w:name w:val="WW8Num44z0"/>
    <w:qFormat/>
    <w:rPr>
      <w:rFonts w:cs="Times New Roman"/>
      <w:b/>
      <w:bCs/>
    </w:rPr>
  </w:style>
  <w:style w:type="character" w:styleId="WW8Num44z1">
    <w:name w:val="WW8Num44z1"/>
    <w:qFormat/>
    <w:rPr>
      <w:rFonts w:cs="Times New Roman"/>
    </w:rPr>
  </w:style>
  <w:style w:type="character" w:styleId="WW8Num45z0">
    <w:name w:val="WW8Num45z0"/>
    <w:qFormat/>
    <w:rPr>
      <w:rFonts w:ascii="Times New Roman" w:hAnsi="Times New Roman" w:eastAsia="Times New Roman" w:cs="Times New Roman"/>
    </w:rPr>
  </w:style>
  <w:style w:type="character" w:styleId="WW8Num45z2">
    <w:name w:val="WW8Num45z2"/>
    <w:qFormat/>
    <w:rPr>
      <w:rFonts w:ascii="Wingdings" w:hAnsi="Wingdings" w:cs="Wingdings"/>
    </w:rPr>
  </w:style>
  <w:style w:type="character" w:styleId="WW8Num45z3">
    <w:name w:val="WW8Num45z3"/>
    <w:qFormat/>
    <w:rPr>
      <w:rFonts w:ascii="Symbol" w:hAnsi="Symbol" w:cs="Symbol"/>
    </w:rPr>
  </w:style>
  <w:style w:type="character" w:styleId="WW8Num45z4">
    <w:name w:val="WW8Num45z4"/>
    <w:qFormat/>
    <w:rPr>
      <w:rFonts w:ascii="Courier New" w:hAnsi="Courier New" w:cs="Courier New"/>
    </w:rPr>
  </w:style>
  <w:style w:type="character" w:styleId="WW8Num46z0">
    <w:name w:val="WW8Num46z0"/>
    <w:qFormat/>
    <w:rPr>
      <w:rFonts w:cs="Times New Roman"/>
      <w:b/>
      <w:bCs/>
    </w:rPr>
  </w:style>
  <w:style w:type="character" w:styleId="WW8Num46z1">
    <w:name w:val="WW8Num46z1"/>
    <w:qFormat/>
    <w:rPr>
      <w:rFonts w:cs="Times New Roman"/>
    </w:rPr>
  </w:style>
  <w:style w:type="character" w:styleId="Style10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cs="Cambria"/>
      <w:b/>
      <w:bCs/>
      <w:kern w:val="2"/>
      <w:sz w:val="32"/>
      <w:szCs w:val="32"/>
    </w:rPr>
  </w:style>
  <w:style w:type="character" w:styleId="2">
    <w:name w:val="Заголовок 2 Знак"/>
    <w:qFormat/>
    <w:rPr>
      <w:rFonts w:ascii="Cambria" w:hAnsi="Cambria" w:cs="Cambria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Cambria" w:hAnsi="Cambria" w:cs="Cambria"/>
      <w:b/>
      <w:bCs/>
      <w:sz w:val="26"/>
      <w:szCs w:val="26"/>
    </w:rPr>
  </w:style>
  <w:style w:type="character" w:styleId="4">
    <w:name w:val="Заголовок 4 Знак"/>
    <w:qFormat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21">
    <w:name w:val="Основной текст 2 Знак"/>
    <w:qFormat/>
    <w:rPr>
      <w:rFonts w:cs="Times New Roman"/>
      <w:sz w:val="24"/>
      <w:szCs w:val="24"/>
    </w:rPr>
  </w:style>
  <w:style w:type="character" w:styleId="Style11">
    <w:name w:val="Основной текст Знак"/>
    <w:qFormat/>
    <w:rPr>
      <w:rFonts w:cs="Times New Roman"/>
      <w:sz w:val="24"/>
      <w:szCs w:val="24"/>
    </w:rPr>
  </w:style>
  <w:style w:type="character" w:styleId="31">
    <w:name w:val="Основной текст 3 Знак"/>
    <w:qFormat/>
    <w:rPr>
      <w:rFonts w:cs="Times New Roman"/>
      <w:sz w:val="16"/>
      <w:szCs w:val="16"/>
    </w:rPr>
  </w:style>
  <w:style w:type="character" w:styleId="Style12">
    <w:name w:val="Нижний колонтитул Знак"/>
    <w:qFormat/>
    <w:rPr>
      <w:rFonts w:cs="Times New Roman"/>
      <w:sz w:val="24"/>
      <w:szCs w:val="24"/>
    </w:rPr>
  </w:style>
  <w:style w:type="character" w:styleId="PageNumber">
    <w:name w:val="page number"/>
    <w:rPr>
      <w:rFonts w:cs="Times New Roman"/>
    </w:rPr>
  </w:style>
  <w:style w:type="character" w:styleId="22">
    <w:name w:val="Основной текст с отступом 2 Знак"/>
    <w:qFormat/>
    <w:rPr>
      <w:rFonts w:cs="Times New Roman"/>
      <w:sz w:val="24"/>
      <w:szCs w:val="24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character" w:styleId="Style13">
    <w:name w:val="Верхний колонтитул Знак"/>
    <w:qFormat/>
    <w:rPr>
      <w:rFonts w:cs="Times New Roman"/>
      <w:sz w:val="24"/>
      <w:szCs w:val="24"/>
    </w:rPr>
  </w:style>
  <w:style w:type="character" w:styleId="Style14">
    <w:name w:val="Текст Знак"/>
    <w:qFormat/>
    <w:rPr>
      <w:rFonts w:ascii="Courier New" w:hAnsi="Courier New" w:cs="Courier New"/>
      <w:sz w:val="20"/>
      <w:szCs w:val="20"/>
    </w:rPr>
  </w:style>
  <w:style w:type="character" w:styleId="Style15">
    <w:name w:val="Тест несписок Знак Знак"/>
    <w:qFormat/>
    <w:rPr>
      <w:rFonts w:ascii="Verdana" w:hAnsi="Verdana" w:cs="Verdana"/>
      <w:kern w:val="2"/>
      <w:sz w:val="24"/>
      <w:szCs w:val="24"/>
      <w:lang w:val="ru-RU"/>
    </w:rPr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7">
    <w:name w:val="Текст концевой сноски Знак"/>
    <w:basedOn w:val="Style10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32">
    <w:name w:val="Стиль3 Знак Знак"/>
    <w:qFormat/>
    <w:rPr>
      <w:sz w:val="24"/>
    </w:rPr>
  </w:style>
  <w:style w:type="character" w:styleId="Style18">
    <w:name w:val="Абзац списка Знак"/>
    <w:qFormat/>
    <w:rPr>
      <w:sz w:val="24"/>
      <w:szCs w:val="24"/>
    </w:rPr>
  </w:style>
  <w:style w:type="character" w:styleId="ConsPlusNormal">
    <w:name w:val="ConsPlusNormal Знак"/>
    <w:qFormat/>
    <w:rPr>
      <w:rFonts w:ascii="Arial" w:hAnsi="Arial" w:cs="Ari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3">
    <w:name w:val="Основной текст 2"/>
    <w:basedOn w:val="Normal"/>
    <w:qFormat/>
    <w:pPr>
      <w:jc w:val="both"/>
    </w:pPr>
    <w:rPr>
      <w:lang w:val="en-US"/>
    </w:rPr>
  </w:style>
  <w:style w:type="paragraph" w:styleId="11">
    <w:name w:val="Стиль1"/>
    <w:basedOn w:val="Normal"/>
    <w:qFormat/>
    <w:pPr>
      <w:jc w:val="center"/>
    </w:pPr>
    <w:rPr>
      <w:sz w:val="20"/>
      <w:szCs w:val="20"/>
    </w:rPr>
  </w:style>
  <w:style w:type="paragraph" w:styleId="16pt">
    <w:name w:val="Обычный + 16 pt"/>
    <w:basedOn w:val="Normal"/>
    <w:qFormat/>
    <w:pPr>
      <w:widowControl w:val="false"/>
      <w:autoSpaceDE w:val="false"/>
      <w:ind w:firstLine="540" w:start="0" w:end="0"/>
      <w:jc w:val="both"/>
    </w:pPr>
    <w:rPr>
      <w:sz w:val="32"/>
      <w:szCs w:val="32"/>
    </w:rPr>
  </w:style>
  <w:style w:type="paragraph" w:styleId="Style19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33">
    <w:name w:val="Основной текст 3"/>
    <w:basedOn w:val="Normal"/>
    <w:qFormat/>
    <w:pPr/>
    <w:rPr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24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lang w:val="en-US"/>
    </w:rPr>
  </w:style>
  <w:style w:type="paragraph" w:styleId="34">
    <w:name w:val="Стиль3"/>
    <w:basedOn w:val="24"/>
    <w:qFormat/>
    <w:pPr>
      <w:widowControl w:val="false"/>
      <w:spacing w:lineRule="auto" w:line="240" w:before="0" w:after="0"/>
      <w:ind w:hanging="0" w:start="0" w:end="0"/>
      <w:jc w:val="both"/>
      <w:textAlignment w:val="baseline"/>
    </w:pPr>
    <w:rPr/>
  </w:style>
  <w:style w:type="paragraph" w:styleId="Style20">
    <w:name w:val="Готовый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  <w:szCs w:val="20"/>
    </w:rPr>
  </w:style>
  <w:style w:type="paragraph" w:styleId="12">
    <w:name w:val="МойЗаголовок1"/>
    <w:basedOn w:val="Normal"/>
    <w:qFormat/>
    <w:pPr>
      <w:spacing w:lineRule="auto" w:line="288" w:before="360" w:after="60"/>
      <w:jc w:val="center"/>
      <w:outlineLvl w:val="0"/>
    </w:pPr>
    <w:rPr>
      <w:b/>
      <w:bCs/>
      <w:kern w:val="2"/>
    </w:rPr>
  </w:style>
  <w:style w:type="paragraph" w:styleId="H4">
    <w:name w:val="H4"/>
    <w:basedOn w:val="Normal"/>
    <w:next w:val="Normal"/>
    <w:qFormat/>
    <w:pPr>
      <w:keepNext w:val="true"/>
      <w:widowControl w:val="false"/>
      <w:spacing w:before="100" w:after="100"/>
      <w:outlineLvl w:val="4"/>
    </w:pPr>
    <w:rPr>
      <w:b/>
      <w:bCs/>
    </w:rPr>
  </w:style>
  <w:style w:type="paragraph" w:styleId="Style21">
    <w:name w:val="Знак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13">
    <w:name w:val="Знак1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111">
    <w:name w:val="Знак11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Char">
    <w:name w:val="Char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121">
    <w:name w:val="Знак12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131">
    <w:name w:val="Знак13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14">
    <w:name w:val="Знак14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15">
    <w:name w:val="Знак15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16">
    <w:name w:val="Знак16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17">
    <w:name w:val="Знак1 Знак Знак Знак Знак Знак Знак Знак Знак Знак Знак Знак Знак Знак Знак Знак Знак Знак Знак Знак Знак Знак"/>
    <w:basedOn w:val="Normal"/>
    <w:qFormat/>
    <w:pPr>
      <w:keepLines/>
      <w:spacing w:lineRule="exact" w:line="240" w:before="0" w:after="160"/>
    </w:pPr>
    <w:rPr>
      <w:rFonts w:ascii="Verdana" w:hAnsi="Verdana" w:eastAsia="MS Mincho;MS Gothic" w:cs="Verdana"/>
      <w:sz w:val="20"/>
      <w:szCs w:val="20"/>
      <w:lang w:val="en-US"/>
    </w:rPr>
  </w:style>
  <w:style w:type="paragraph" w:styleId="Style22">
    <w:name w:val="Текст"/>
    <w:basedOn w:val="Normal"/>
    <w:qFormat/>
    <w:pPr/>
    <w:rPr>
      <w:rFonts w:ascii="Courier New" w:hAnsi="Courier New" w:cs="Courier New"/>
      <w:sz w:val="20"/>
      <w:szCs w:val="20"/>
      <w:lang w:val="en-US"/>
    </w:rPr>
  </w:style>
  <w:style w:type="paragraph" w:styleId="Style23">
    <w:name w:val="Тест несписок Знак"/>
    <w:basedOn w:val="Normal"/>
    <w:qFormat/>
    <w:pPr>
      <w:spacing w:lineRule="auto" w:line="288" w:before="60" w:after="60"/>
      <w:ind w:firstLine="567" w:start="0" w:end="0"/>
      <w:jc w:val="both"/>
      <w:outlineLvl w:val="0"/>
    </w:pPr>
    <w:rPr>
      <w:rFonts w:ascii="Verdana" w:hAnsi="Verdana" w:cs="Verdana"/>
      <w:kern w:val="2"/>
    </w:rPr>
  </w:style>
  <w:style w:type="paragraph" w:styleId="Style24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5">
    <w:name w:val="Абзац списка"/>
    <w:basedOn w:val="Normal"/>
    <w:qFormat/>
    <w:pPr>
      <w:ind w:hanging="0" w:start="720" w:end="0"/>
    </w:pPr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ZchnZchn1CharCharZchnZchn">
    <w:name w:val="Zchn Zchn1 Char Char Zchn Zchn"/>
    <w:basedOn w:val="Normal"/>
    <w:qFormat/>
    <w:pPr>
      <w:widowControl w:val="false"/>
      <w:bidi w:val="1"/>
      <w:spacing w:lineRule="exact" w:line="240" w:before="0" w:after="160"/>
      <w:ind w:hanging="0" w:start="0" w:end="0"/>
      <w:jc w:val="start"/>
    </w:pPr>
    <w:rPr>
      <w:sz w:val="20"/>
      <w:szCs w:val="20"/>
      <w:lang w:val="en-GB" w:bidi="he-IL"/>
    </w:rPr>
  </w:style>
  <w:style w:type="paragraph" w:styleId="25">
    <w:name w:val="Нумерованный список 2"/>
    <w:basedOn w:val="Normal"/>
    <w:qFormat/>
    <w:pPr>
      <w:numPr>
        <w:ilvl w:val="0"/>
        <w:numId w:val="2"/>
      </w:numPr>
      <w:spacing w:before="0" w:after="0"/>
      <w:contextualSpacing/>
    </w:pPr>
    <w:rPr/>
  </w:style>
  <w:style w:type="paragraph" w:styleId="26">
    <w:name w:val="Стиль2"/>
    <w:basedOn w:val="25"/>
    <w:qFormat/>
    <w:pPr>
      <w:keepNext w:val="true"/>
      <w:keepLines/>
      <w:widowControl w:val="false"/>
      <w:numPr>
        <w:ilvl w:val="0"/>
        <w:numId w:val="0"/>
      </w:numPr>
      <w:suppressLineNumbers/>
      <w:tabs>
        <w:tab w:val="clear" w:pos="709"/>
        <w:tab w:val="left" w:pos="1440" w:leader="none"/>
      </w:tabs>
      <w:suppressAutoHyphens w:val="true"/>
      <w:spacing w:before="0" w:after="60"/>
      <w:ind w:hanging="360" w:start="1440" w:end="0"/>
      <w:contextualSpacing w:val="false"/>
      <w:jc w:val="both"/>
    </w:pPr>
    <w:rPr>
      <w:b/>
      <w:szCs w:val="20"/>
    </w:rPr>
  </w:style>
  <w:style w:type="paragraph" w:styleId="35">
    <w:name w:val="Стиль3 Знак"/>
    <w:basedOn w:val="24"/>
    <w:qFormat/>
    <w:pPr>
      <w:widowControl w:val="false"/>
      <w:tabs>
        <w:tab w:val="clear" w:pos="709"/>
        <w:tab w:val="left" w:pos="227" w:leader="none"/>
      </w:tabs>
      <w:spacing w:lineRule="auto" w:line="240" w:before="0" w:after="0"/>
      <w:ind w:hanging="0" w:start="0" w:end="0"/>
      <w:jc w:val="both"/>
      <w:textAlignment w:val="baseline"/>
    </w:pPr>
    <w:rPr>
      <w:szCs w:val="20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26">
    <w:name w:val="Пункт"/>
    <w:basedOn w:val="Normal"/>
    <w:qFormat/>
    <w:pPr>
      <w:tabs>
        <w:tab w:val="clear" w:pos="709"/>
        <w:tab w:val="left" w:pos="1980" w:leader="none"/>
      </w:tabs>
      <w:ind w:hanging="504" w:start="1404" w:end="0"/>
      <w:jc w:val="both"/>
    </w:pPr>
    <w:rPr>
      <w:szCs w:val="28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Times New Roman" w:hAnsi="Times New Roman" w:eastAsia="Andale Sans UI;Times New Roman" w:cs="Tahoma"/>
      <w:color w:val="auto"/>
      <w:kern w:val="2"/>
      <w:sz w:val="24"/>
      <w:szCs w:val="24"/>
      <w:lang w:val="en-US" w:eastAsia="zh-CN"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2021-08-23T08:32:00Z</dcterms:created>
  <dc:creator>Мухина СВ</dc:creator>
  <dc:description/>
  <cp:keywords/>
  <dc:language>en-US</dc:language>
  <cp:lastModifiedBy>Белугина Дарья Михайловна</cp:lastModifiedBy>
  <cp:lastPrinted>2023-12-18T15:37:00Z</cp:lastPrinted>
  <dcterms:modified xsi:type="dcterms:W3CDTF">2025-12-15T14:38:00Z</dcterms:modified>
  <cp:revision>61</cp:revision>
  <dc:subject/>
  <dc:title>ПРОТОКОЛ № 2/202с-10</dc:title>
</cp:coreProperties>
</file>