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Утверждено </w:t>
      </w:r>
    </w:p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  <w:t>от Заказчика                                                                                               Директор</w:t>
      </w:r>
    </w:p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  <w:t>МУП г.Камышина «ПУВКХ»</w:t>
      </w:r>
    </w:p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____________________/Ю.И.Толмачёв/</w:t>
      </w:r>
    </w:p>
    <w:p>
      <w:pPr>
        <w:pStyle w:val="Normal"/>
        <w:ind w:start="6300" w:end="0"/>
        <w:rPr>
          <w:b/>
          <w:sz w:val="22"/>
          <w:szCs w:val="22"/>
        </w:rPr>
      </w:pPr>
      <w:r>
        <w:rPr>
          <w:b/>
          <w:sz w:val="22"/>
          <w:szCs w:val="22"/>
        </w:rPr>
        <w:t>«____»  ____________  2025 года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 № 9-ЕП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заседания единой комиссии </w:t>
      </w:r>
    </w:p>
    <w:p>
      <w:pPr>
        <w:pStyle w:val="Normal"/>
        <w:ind w:firstLine="48" w:start="7032" w:end="0"/>
        <w:jc w:val="end"/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48" w:start="7032" w:end="0"/>
        <w:jc w:val="end"/>
        <w:rPr/>
      </w:pPr>
      <w:r>
        <w:rPr>
          <w:sz w:val="22"/>
          <w:szCs w:val="22"/>
        </w:rPr>
        <w:t>« _____»  ___________ 2025 г.</w:t>
      </w:r>
    </w:p>
    <w:p>
      <w:pPr>
        <w:pStyle w:val="Normal"/>
        <w:ind w:firstLine="48" w:start="7032" w:end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r>
        <w:rPr>
          <w:sz w:val="22"/>
          <w:szCs w:val="22"/>
        </w:rPr>
        <w:t>_____ ч. ___мин. (М</w:t>
      </w:r>
      <w:r>
        <w:rPr>
          <w:sz w:val="22"/>
          <w:szCs w:val="22"/>
          <w:lang w:val="en-US"/>
        </w:rPr>
        <w:t>S</w:t>
      </w:r>
      <w:r>
        <w:rPr>
          <w:sz w:val="22"/>
          <w:szCs w:val="22"/>
        </w:rPr>
        <w:t>К)</w:t>
      </w:r>
    </w:p>
    <w:p>
      <w:pPr>
        <w:pStyle w:val="Normal"/>
        <w:ind w:firstLine="48" w:start="7032" w:end="0"/>
        <w:jc w:val="end"/>
        <w:rPr>
          <w:sz w:val="22"/>
          <w:szCs w:val="22"/>
        </w:rPr>
      </w:pPr>
      <w:r>
        <w:rPr>
          <w:sz w:val="22"/>
          <w:szCs w:val="22"/>
        </w:rPr>
        <w:t>Место рассмотрения:</w:t>
      </w:r>
    </w:p>
    <w:p>
      <w:pPr>
        <w:pStyle w:val="Normal"/>
        <w:ind w:firstLine="48" w:start="7032" w:end="0"/>
        <w:jc w:val="end"/>
        <w:rPr>
          <w:sz w:val="22"/>
          <w:szCs w:val="22"/>
        </w:rPr>
      </w:pPr>
      <w:r>
        <w:rPr>
          <w:sz w:val="22"/>
          <w:szCs w:val="22"/>
        </w:rPr>
        <w:t xml:space="preserve">Волгоградская обл., г.Камышин, </w:t>
      </w:r>
    </w:p>
    <w:p>
      <w:pPr>
        <w:pStyle w:val="Normal"/>
        <w:ind w:firstLine="48" w:start="7032" w:end="0"/>
        <w:jc w:val="end"/>
        <w:rPr>
          <w:sz w:val="22"/>
          <w:szCs w:val="22"/>
        </w:rPr>
      </w:pPr>
      <w:r>
        <w:rPr>
          <w:sz w:val="22"/>
          <w:szCs w:val="22"/>
        </w:rPr>
        <w:t>Кабинет Директора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Присутствовали: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Председатель единой комиссии по осуществлению закупок – Толмачёв Ю.И.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Зам.председателя единой комиссии по осуществлению закупок – Аверков Р.В.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Член единой комиссии по осуществлению закупок  – Гололобов А.И.</w:t>
      </w:r>
    </w:p>
    <w:p>
      <w:pPr>
        <w:pStyle w:val="Normal"/>
        <w:rPr/>
      </w:pPr>
      <w:r>
        <w:rPr>
          <w:sz w:val="22"/>
          <w:szCs w:val="22"/>
        </w:rPr>
        <w:t>Член единой комиссии по осуществлению закупок – Лапин Е.В.</w:t>
      </w:r>
    </w:p>
    <w:p>
      <w:pPr>
        <w:pStyle w:val="Normal"/>
        <w:rPr/>
      </w:pPr>
      <w:r>
        <w:rPr>
          <w:sz w:val="22"/>
          <w:szCs w:val="22"/>
        </w:rPr>
        <w:t>Член единой комиссии по осуществлению закупок – Подоляк Л.Ю.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Секретарь единой комиссии по осуществлению закупок (без права голоса) — Ивкина Е.А.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Кворум имеется. </w:t>
      </w:r>
    </w:p>
    <w:p>
      <w:pPr>
        <w:pStyle w:val="Normal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Повестка дня:</w:t>
      </w:r>
      <w:r>
        <w:rPr>
          <w:sz w:val="22"/>
          <w:szCs w:val="22"/>
        </w:rPr>
        <w:t xml:space="preserve"> Одобрение заключения договора с единственным поставщиком (подрядчиком, исполнителем)</w:t>
      </w:r>
      <w:r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участниками которого могут быть только субъекты малого и среднего предпринимательства.</w:t>
      </w:r>
    </w:p>
    <w:p>
      <w:pPr>
        <w:pStyle w:val="Normal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Способ закупки  - закупка у единственного поставщика (подрядчика, исполнителя)</w:t>
      </w:r>
      <w:r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участниками которого могут быть только субъекты малого и среднего предпринимательства.</w:t>
      </w:r>
    </w:p>
    <w:p>
      <w:pPr>
        <w:pStyle w:val="Normal"/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Основание: абз.3. п.п.26.2.1 п. 26.2  р.26, п. 20.7 р.20 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«Положения о </w:t>
      </w:r>
      <w:r>
        <w:rPr>
          <w:sz w:val="22"/>
          <w:szCs w:val="22"/>
        </w:rPr>
        <w:t>закупках товаров, работ, услуг для нужд Муниципального унитарного предприятия г.Камышина «Производственное управление водопроводно-канализационного хозяйства» (МУП г.Камышина «ПУВКХ») и Перечня</w:t>
      </w:r>
      <w:r>
        <w:rPr>
          <w:bCs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товаров, работ, услуг, закупки которых осуществляются у субъектов малого и среднего предпринимательства.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По  вопросу решили:</w:t>
      </w:r>
      <w:r>
        <w:rPr>
          <w:sz w:val="22"/>
          <w:szCs w:val="22"/>
        </w:rPr>
        <w:t xml:space="preserve">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1. Заключить договор с единственным поставщиком (подрядчиком, исполнителем), участниками которого могут быть только субъекты малого и среднего предпринимательства, на поставку труб напорных из полиэтилена</w:t>
      </w:r>
      <w:r>
        <w:rPr>
          <w:rStyle w:val="FontStyle19"/>
          <w:rFonts w:cs="Times New Roman"/>
          <w:sz w:val="22"/>
          <w:szCs w:val="22"/>
        </w:rPr>
        <w:t xml:space="preserve">  для нужд МУП г.Камышина «ПУВКХ».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2. Обоснование закупки: абз.3. п.п.26.2.1 п. 26.2  р.26, п. 20.7 р.20 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«Положения о </w:t>
      </w:r>
      <w:r>
        <w:rPr>
          <w:sz w:val="22"/>
          <w:szCs w:val="22"/>
        </w:rPr>
        <w:t>закупках товаров, работ, услуг для нужд Муниципального унитарного предприятия г.Камышина «Производственное управление водопроводно-канализационного хозяйства» (МУП г.Камышина «ПУВКХ») и Перечня</w:t>
      </w:r>
      <w:r>
        <w:rPr>
          <w:bCs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товаров, работ, услуг, закупки которых осуществляются у субъектов малого и среднего предпринимательства.</w:t>
      </w:r>
    </w:p>
    <w:p>
      <w:pPr>
        <w:pStyle w:val="Normal"/>
        <w:jc w:val="both"/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sz w:val="22"/>
          <w:szCs w:val="22"/>
        </w:rPr>
        <w:t>Заказчик:</w:t>
      </w:r>
      <w:r>
        <w:rPr>
          <w:b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Муниципальное унитарное предприятие г.Камышина «Производственное управление водопроводно-канализационного хозяйства» (МУП г.Камышина «ПУВКХ»)</w:t>
      </w:r>
    </w:p>
    <w:p>
      <w:pPr>
        <w:pStyle w:val="Normal"/>
        <w:tabs>
          <w:tab w:val="clear" w:pos="708"/>
          <w:tab w:val="left" w:pos="426" w:leader="none"/>
        </w:tabs>
        <w:rPr>
          <w:sz w:val="22"/>
          <w:szCs w:val="22"/>
        </w:rPr>
      </w:pPr>
      <w:r>
        <w:rPr>
          <w:sz w:val="22"/>
          <w:szCs w:val="22"/>
        </w:rPr>
        <w:t>Место нахождения: 403881, Волгоградская обл., г.Камышин, ул. Силикатная, 10.</w:t>
      </w:r>
    </w:p>
    <w:p>
      <w:pPr>
        <w:pStyle w:val="Normal"/>
        <w:tabs>
          <w:tab w:val="clear" w:pos="708"/>
          <w:tab w:val="left" w:pos="426" w:leader="none"/>
        </w:tabs>
        <w:rPr/>
      </w:pPr>
      <w:r>
        <w:rPr>
          <w:sz w:val="22"/>
          <w:szCs w:val="22"/>
        </w:rPr>
        <w:t xml:space="preserve">Адрес электронной почты: </w:t>
      </w:r>
      <w:hyperlink r:id="rId2">
        <w:r>
          <w:rPr>
            <w:rStyle w:val="Hyperlink"/>
            <w:sz w:val="22"/>
            <w:szCs w:val="22"/>
          </w:rPr>
          <w:t>ivkina@vodokanal-kam.ru</w:t>
        </w:r>
      </w:hyperlink>
      <w:r>
        <w:rPr>
          <w:sz w:val="22"/>
          <w:szCs w:val="22"/>
        </w:rPr>
        <w:t xml:space="preserve"> Номер контактного телефона, факс: +7 (84457) 9-62-00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Основные условия заключения договора: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 Предмет договора:  </w:t>
      </w:r>
    </w:p>
    <w:p>
      <w:pPr>
        <w:pStyle w:val="Normal"/>
        <w:rPr/>
      </w:pPr>
      <w:r>
        <w:rPr>
          <w:sz w:val="22"/>
          <w:szCs w:val="22"/>
        </w:rPr>
        <w:t>Поставка труб напорных из полиэтилена для нужд МУП г.Камышина «ПУВКХ».</w:t>
      </w:r>
    </w:p>
    <w:p>
      <w:pPr>
        <w:pStyle w:val="Normal"/>
        <w:rPr/>
      </w:pPr>
      <w:r>
        <w:rPr>
          <w:sz w:val="22"/>
          <w:szCs w:val="22"/>
        </w:rPr>
        <w:t xml:space="preserve">Объем поставки – 208 метров </w:t>
      </w:r>
    </w:p>
    <w:p>
      <w:pPr>
        <w:pStyle w:val="Normal"/>
        <w:rPr/>
      </w:pPr>
      <w:r>
        <w:rPr>
          <w:sz w:val="22"/>
          <w:szCs w:val="22"/>
        </w:rPr>
        <w:t xml:space="preserve">Характеристика: труба ПЭ 100 </w:t>
      </w:r>
      <w:r>
        <w:rPr>
          <w:sz w:val="22"/>
          <w:szCs w:val="22"/>
          <w:lang w:val="en-US"/>
        </w:rPr>
        <w:t>SDR</w:t>
      </w:r>
      <w:r>
        <w:rPr>
          <w:sz w:val="22"/>
          <w:szCs w:val="22"/>
        </w:rPr>
        <w:t xml:space="preserve"> 17 – 160х9,5 питьевая (отрезок по 13 м) – 182 м</w:t>
      </w:r>
    </w:p>
    <w:p>
      <w:pPr>
        <w:pStyle w:val="Normal"/>
        <w:rPr/>
      </w:pPr>
      <w:r>
        <w:rPr>
          <w:sz w:val="22"/>
          <w:szCs w:val="22"/>
        </w:rPr>
        <w:t xml:space="preserve">труба ПЭ 100 </w:t>
      </w:r>
      <w:r>
        <w:rPr>
          <w:sz w:val="22"/>
          <w:szCs w:val="22"/>
          <w:lang w:val="en-US"/>
        </w:rPr>
        <w:t>SDR</w:t>
      </w:r>
      <w:r>
        <w:rPr>
          <w:sz w:val="22"/>
          <w:szCs w:val="22"/>
        </w:rPr>
        <w:t xml:space="preserve"> 17 – 315х18,7 питьевая (отрезок по 13 м) – 26 м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4.2. Цена договора:  </w:t>
      </w:r>
      <w:r>
        <w:rPr>
          <w:color w:val="000000"/>
          <w:sz w:val="22"/>
          <w:szCs w:val="22"/>
        </w:rPr>
        <w:t>370 316  (триста семьдесят тысяч триста шестнадцать) руб. 23 коп.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Обоснование НМЦД:  метод сопоставимых рыночных цен (анализ рынка) – абзац 8  п. 13.1.2, р.13.1  </w:t>
      </w:r>
      <w:r>
        <w:rPr>
          <w:color w:val="000000"/>
          <w:sz w:val="22"/>
          <w:szCs w:val="22"/>
        </w:rPr>
        <w:t xml:space="preserve">«Положения о </w:t>
      </w:r>
      <w:r>
        <w:rPr>
          <w:sz w:val="22"/>
          <w:szCs w:val="22"/>
        </w:rPr>
        <w:t>закупках товаров, работ, услуг для нужд Муниципального унитарного предприятия г.Камышина «Производственное управление водопроводно-канализационного хозяйства» (МУП г.Камышина «ПУВКХ»).</w:t>
      </w:r>
    </w:p>
    <w:p>
      <w:pPr>
        <w:pStyle w:val="Normal"/>
        <w:autoSpaceDE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142" w:leader="none"/>
        </w:tabs>
        <w:autoSpaceDE w:val="false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Цена договора включает все затраты, связанные с исполнение договора:  стоимость товара, расходы, связанные с отгрузкой товара,  погрузочные работы;  расходы по хранению товара (до полной отгрузки), упаковке товара, транспортные расходы до склада Покупателя, а также других дополнительных расходов, связанных с уплатой налогов, сборов, страховок, таможенных пошлин  и других обязательных платежей. </w:t>
      </w:r>
    </w:p>
    <w:p>
      <w:pPr>
        <w:pStyle w:val="BodyText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Указанная цена Договора является твердой и не подлежит изменению в течение срока исполнения Договора.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jc w:val="both"/>
        <w:rPr/>
      </w:pPr>
      <w:bookmarkStart w:id="0" w:name="OLE_LINK31"/>
      <w:bookmarkStart w:id="1" w:name="OLE_LINK30"/>
      <w:bookmarkStart w:id="2" w:name="OLE_LINK29"/>
      <w:bookmarkEnd w:id="0"/>
      <w:bookmarkEnd w:id="1"/>
      <w:bookmarkEnd w:id="2"/>
      <w:r>
        <w:rPr>
          <w:sz w:val="22"/>
          <w:szCs w:val="22"/>
        </w:rPr>
        <w:t>Поставка товара  осуществляется средствами и силами Поставщика до центрального склада  МУП г. Камышина «ПУВКХ».</w:t>
      </w:r>
    </w:p>
    <w:p>
      <w:pPr>
        <w:pStyle w:val="Normal"/>
        <w:autoSpaceDE w:val="false"/>
        <w:jc w:val="both"/>
        <w:rPr/>
      </w:pPr>
      <w:bookmarkStart w:id="3" w:name="OLE_LINK31"/>
      <w:bookmarkStart w:id="4" w:name="OLE_LINK30"/>
      <w:bookmarkStart w:id="5" w:name="OLE_LINK29"/>
      <w:bookmarkEnd w:id="3"/>
      <w:bookmarkEnd w:id="4"/>
      <w:bookmarkEnd w:id="5"/>
      <w:r>
        <w:rPr>
          <w:color w:val="000000"/>
          <w:spacing w:val="6"/>
          <w:sz w:val="22"/>
          <w:szCs w:val="22"/>
        </w:rPr>
        <w:t>Место поставки Товара</w:t>
      </w:r>
      <w:r>
        <w:rPr>
          <w:color w:val="000000"/>
          <w:spacing w:val="4"/>
          <w:sz w:val="22"/>
          <w:szCs w:val="22"/>
        </w:rPr>
        <w:t xml:space="preserve">: </w:t>
      </w:r>
      <w:r>
        <w:rPr>
          <w:sz w:val="22"/>
          <w:szCs w:val="22"/>
        </w:rPr>
        <w:t>Во</w:t>
      </w:r>
      <w:r>
        <w:rPr>
          <w:color w:val="000000"/>
          <w:sz w:val="22"/>
          <w:szCs w:val="22"/>
        </w:rPr>
        <w:t>лгоградская  обл., г.Камышин, ул.Силикатная, 10, центральный склад  МУП г.Камышина «ПУВКХ».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Срок поставки: товар по настоящему договору должен быть поставлен Покупателю  в срок не позднее 31 марта 2025г.</w:t>
      </w:r>
    </w:p>
    <w:p>
      <w:pPr>
        <w:pStyle w:val="Normal"/>
        <w:jc w:val="both"/>
        <w:rPr>
          <w:rStyle w:val="FontStyle19"/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jc w:val="both"/>
        <w:rPr/>
      </w:pPr>
      <w:r>
        <w:rPr>
          <w:rStyle w:val="FontStyle19"/>
          <w:rFonts w:cs="Times New Roman"/>
          <w:sz w:val="22"/>
          <w:szCs w:val="22"/>
        </w:rPr>
        <w:t xml:space="preserve">Форма, срок и порядок оплаты: </w:t>
      </w:r>
      <w:r>
        <w:rPr>
          <w:sz w:val="22"/>
          <w:szCs w:val="22"/>
        </w:rPr>
        <w:t xml:space="preserve">Оплата по Договору осуществляется по безналичному расчету на расчетный счет </w:t>
      </w:r>
      <w:r>
        <w:rPr>
          <w:bCs/>
          <w:sz w:val="22"/>
          <w:szCs w:val="22"/>
        </w:rPr>
        <w:t xml:space="preserve">Поставщика. </w:t>
      </w:r>
      <w:r>
        <w:rPr>
          <w:sz w:val="22"/>
          <w:szCs w:val="22"/>
        </w:rPr>
        <w:t>Авансовые платежи не предусмотрены. Отсрочка платежа – 100%.</w:t>
      </w:r>
    </w:p>
    <w:p>
      <w:pPr>
        <w:pStyle w:val="BodyText"/>
        <w:jc w:val="both"/>
        <w:rPr>
          <w:sz w:val="22"/>
          <w:szCs w:val="22"/>
        </w:rPr>
      </w:pPr>
      <w:r>
        <w:rPr>
          <w:sz w:val="22"/>
          <w:szCs w:val="22"/>
        </w:rPr>
        <w:t>Расчет за поставленный товар производиться в течение семи рабочих дней с момента фактической поставки всего объема товара на  центральный склад Покупателя и надлежаще оформленной и подписанной между Покупателем  и Поставщиком документации (товарной накладной, товарно-транспортной накладной и счета-фактуры или УПД).</w:t>
      </w:r>
    </w:p>
    <w:p>
      <w:pPr>
        <w:pStyle w:val="Normal"/>
        <w:jc w:val="both"/>
        <w:rPr>
          <w:sz w:val="22"/>
          <w:szCs w:val="22"/>
          <w:shd w:fill="FEFFFE" w:val="clear"/>
        </w:rPr>
      </w:pPr>
      <w:r>
        <w:rPr>
          <w:sz w:val="22"/>
          <w:szCs w:val="22"/>
          <w:shd w:fill="FEFFFE" w:val="clear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sz w:val="22"/>
          <w:szCs w:val="22"/>
        </w:rPr>
        <w:t xml:space="preserve"> Комиссия приняла решение р</w:t>
      </w:r>
      <w:r>
        <w:rPr>
          <w:rStyle w:val="Hyperlink"/>
          <w:color w:val="000000"/>
          <w:sz w:val="22"/>
          <w:szCs w:val="22"/>
        </w:rPr>
        <w:t xml:space="preserve">азместить  настоящий  Протокол </w:t>
      </w:r>
      <w:r>
        <w:rPr>
          <w:sz w:val="22"/>
          <w:szCs w:val="22"/>
        </w:rPr>
        <w:t>в единой информационной системе в сфере закупок (</w:t>
      </w:r>
      <w:r>
        <w:rPr>
          <w:rStyle w:val="Hyperlink"/>
          <w:color w:val="000000"/>
          <w:sz w:val="22"/>
          <w:szCs w:val="22"/>
        </w:rPr>
        <w:t xml:space="preserve">на официальном сайте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.)  </w:t>
      </w:r>
      <w:r>
        <w:rPr>
          <w:rStyle w:val="Hyperlink"/>
          <w:color w:val="000000"/>
          <w:sz w:val="22"/>
          <w:szCs w:val="22"/>
        </w:rPr>
        <w:t xml:space="preserve"> в установленный законом срок.</w:t>
      </w:r>
    </w:p>
    <w:p>
      <w:pPr>
        <w:pStyle w:val="Normal"/>
        <w:tabs>
          <w:tab w:val="clear" w:pos="708"/>
          <w:tab w:val="left" w:pos="2910" w:leader="none"/>
        </w:tabs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Голосовали: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единой комиссии по осуществлению закупок - Толмачёв Ю.И. – «ЗА».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Зам.председателя единой комиссии по осуществлению закупок – Аверков Р.В. – «ЗА».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Член единой комиссии по осуществлению закупок  – Гололобов А.И. - «ЗА».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Член единой комиссии по осуществлению закупок – Лапин Е.В. – «ЗА».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Член единой комиссии по осуществлению закупок – Подоляк Л.Ю. - «ЗА».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«ЗА» - единогласно.</w:t>
      </w:r>
    </w:p>
    <w:p>
      <w:pPr>
        <w:pStyle w:val="Normal"/>
        <w:tabs>
          <w:tab w:val="clear" w:pos="708"/>
          <w:tab w:val="left" w:pos="7095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08"/>
          <w:tab w:val="left" w:pos="7095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5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5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Подписи членов комиссии по осуществлению закупок: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единой комиссии по осуществлению закупок  ________________________Ю.И.Толмачёв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Зам.председателя единой комиссии по осуществлению закупок _____________________ Р.В. Аверков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Член единой комиссии по осуществлению закупок ________________________________ А.И.Гололобов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Член единой комиссии по осуществлению закупок ________________________________ Е.В.Лапин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Член единой комиссии по осуществлению закупок ________________________________Л.Ю.Подоляк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Секретарь единой комиссии по осуществлению закупок  (без права голоса) — Ивкина Е.А.</w:t>
      </w:r>
    </w:p>
    <w:p>
      <w:pPr>
        <w:pStyle w:val="Normal"/>
        <w:tabs>
          <w:tab w:val="clear" w:pos="708"/>
          <w:tab w:val="left" w:pos="2910" w:leader="none"/>
        </w:tabs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footerReference w:type="default" r:id="rId4"/>
      <w:type w:val="nextPage"/>
      <w:pgSz w:w="11906" w:h="16838"/>
      <w:pgMar w:left="851" w:right="454" w:gutter="0" w:header="0" w:top="851" w:footer="482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Verdana">
    <w:charset w:val="cc" w:characterSet="windows-1251"/>
    <w:family w:val="swiss"/>
    <w:pitch w:val="variable"/>
  </w:font>
  <w:font w:name="Consolas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7123430</wp:posOffset>
              </wp:positionH>
              <wp:positionV relativeFrom="paragraph">
                <wp:posOffset>635</wp:posOffset>
              </wp:positionV>
              <wp:extent cx="65405" cy="16383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405" cy="1638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15pt;height:12.9pt;mso-wrap-distance-left:0pt;mso-wrap-distance-right:0pt;mso-wrap-distance-top:0pt;mso-wrap-distance-bottom:0pt;margin-top:0.05pt;mso-position-vertical-relative:text;margin-left:560.9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6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uppressAutoHyphens w:val="false"/>
      <w:spacing w:before="280" w:after="280"/>
      <w:outlineLvl w:val="1"/>
    </w:pPr>
    <w:rPr>
      <w:b/>
      <w:bCs/>
      <w:sz w:val="36"/>
      <w:szCs w:val="36"/>
      <w:lang w:val="en-US"/>
    </w:rPr>
  </w:style>
  <w:style w:type="character" w:styleId="WW8Num3z0">
    <w:name w:val="WW8Num3z0"/>
    <w:qFormat/>
    <w:rPr>
      <w:rFonts w:ascii="Calibri" w:hAnsi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</w:rPr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>
      <w:rFonts w:cs="Times New Roman"/>
      <w:color w:val="00000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3z1">
    <w:name w:val="WW8Num33z1"/>
    <w:qFormat/>
    <w:rPr>
      <w:rFonts w:ascii="Times New Roman" w:hAnsi="Times New Roman" w:eastAsia="Times New Roman" w:cs="Times New Roman"/>
    </w:rPr>
  </w:style>
  <w:style w:type="character" w:styleId="WW8Num35z0">
    <w:name w:val="WW8Num35z0"/>
    <w:qFormat/>
    <w:rPr>
      <w:color w:val="000000"/>
    </w:rPr>
  </w:style>
  <w:style w:type="character" w:styleId="WW8Num36z0">
    <w:name w:val="WW8Num36z0"/>
    <w:qFormat/>
    <w:rPr>
      <w:b/>
      <w:color w:val="000000"/>
    </w:rPr>
  </w:style>
  <w:style w:type="character" w:styleId="WW8Num36z1">
    <w:name w:val="WW8Num36z1"/>
    <w:qFormat/>
    <w:rPr>
      <w:rFonts w:ascii="Verdana" w:hAnsi="Verdana" w:cs="Verdana"/>
      <w:b/>
      <w:color w:val="000000"/>
    </w:rPr>
  </w:style>
  <w:style w:type="character" w:styleId="WW8Num36z2">
    <w:name w:val="WW8Num36z2"/>
    <w:qFormat/>
    <w:rPr/>
  </w:style>
  <w:style w:type="character" w:styleId="Style13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WW-Absatz-Standardschriftart111111111">
    <w:name w:val="WW-Absatz-Standardschriftart111111111"/>
    <w:qFormat/>
    <w:rPr/>
  </w:style>
  <w:style w:type="character" w:styleId="WW-Absatz-Standardschriftart1111111111">
    <w:name w:val="WW-Absatz-Standardschriftart1111111111"/>
    <w:qFormat/>
    <w:rPr/>
  </w:style>
  <w:style w:type="character" w:styleId="WW-Absatz-Standardschriftart11111111111">
    <w:name w:val="WW-Absatz-Standardschriftart11111111111"/>
    <w:qFormat/>
    <w:rPr/>
  </w:style>
  <w:style w:type="character" w:styleId="WW-Absatz-Standardschriftart111111111111">
    <w:name w:val="WW-Absatz-Standardschriftart111111111111"/>
    <w:qFormat/>
    <w:rPr/>
  </w:style>
  <w:style w:type="character" w:styleId="WW-Absatz-Standardschriftart1111111111111">
    <w:name w:val="WW-Absatz-Standardschriftart1111111111111"/>
    <w:qFormat/>
    <w:rPr/>
  </w:style>
  <w:style w:type="character" w:styleId="WW-Absatz-Standardschriftart11111111111111">
    <w:name w:val="WW-Absatz-Standardschriftart11111111111111"/>
    <w:qFormat/>
    <w:rPr/>
  </w:style>
  <w:style w:type="character" w:styleId="WW-Absatz-Standardschriftart111111111111111">
    <w:name w:val="WW-Absatz-Standardschriftart111111111111111"/>
    <w:qFormat/>
    <w:rPr/>
  </w:style>
  <w:style w:type="character" w:styleId="1">
    <w:name w:val="Основной шрифт абзаца1"/>
    <w:qFormat/>
    <w:rPr/>
  </w:style>
  <w:style w:type="character" w:styleId="Hyperlink">
    <w:name w:val="Hyperlink"/>
    <w:rPr>
      <w:b w:val="false"/>
      <w:bCs w:val="false"/>
      <w:strike w:val="false"/>
      <w:dstrike w:val="false"/>
      <w:color w:val="0000FF"/>
      <w:u w:val="none"/>
    </w:rPr>
  </w:style>
  <w:style w:type="character" w:styleId="PageNumber">
    <w:name w:val="page number"/>
    <w:basedOn w:val="1"/>
    <w:rPr/>
  </w:style>
  <w:style w:type="character" w:styleId="Style14">
    <w:name w:val="Символ нумерации"/>
    <w:qFormat/>
    <w:rPr/>
  </w:style>
  <w:style w:type="character" w:styleId="Style15">
    <w:name w:val="Текст сноски Знак"/>
    <w:qFormat/>
    <w:rPr>
      <w:lang w:val="ru-RU" w:bidi="ar-SA"/>
    </w:rPr>
  </w:style>
  <w:style w:type="character" w:styleId="Style16">
    <w:name w:val="Основной текст + Полужирный"/>
    <w:qFormat/>
    <w:rPr>
      <w:rFonts w:ascii="Times New Roman" w:hAnsi="Times New Roman" w:cs="Times New Roman"/>
      <w:b/>
      <w:bCs/>
      <w:sz w:val="18"/>
      <w:szCs w:val="18"/>
      <w:shd w:fill="FFFFFF" w:val="clear"/>
    </w:rPr>
  </w:style>
  <w:style w:type="character" w:styleId="Strong">
    <w:name w:val="Strong"/>
    <w:qFormat/>
    <w:rPr>
      <w:b/>
      <w:bCs/>
    </w:rPr>
  </w:style>
  <w:style w:type="character" w:styleId="0pt">
    <w:name w:val="Основной текст + Интервал 0 pt"/>
    <w:qFormat/>
    <w:rPr>
      <w:rFonts w:ascii="Times New Roman" w:hAnsi="Times New Roman" w:eastAsia="Times New Roman" w:cs="Times New Roman"/>
      <w:color w:val="000000"/>
      <w:spacing w:val="6"/>
      <w:w w:val="100"/>
      <w:position w:val="0"/>
      <w:sz w:val="17"/>
      <w:sz w:val="17"/>
      <w:szCs w:val="17"/>
      <w:shd w:fill="FFFFFF" w:val="clear"/>
      <w:vertAlign w:val="baseline"/>
      <w:lang w:val="ru-RU"/>
    </w:rPr>
  </w:style>
  <w:style w:type="character" w:styleId="TimesNewRoman">
    <w:name w:val="Основной текст + Times New Roman"/>
    <w:qFormat/>
    <w:rPr>
      <w:rFonts w:ascii="Times New Roman" w:hAnsi="Times New Roman" w:cs="Times New Roman"/>
      <w:spacing w:val="6"/>
      <w:sz w:val="17"/>
      <w:szCs w:val="17"/>
      <w:shd w:fill="FFFFFF" w:val="clear"/>
    </w:rPr>
  </w:style>
  <w:style w:type="character" w:styleId="FontStyle21">
    <w:name w:val="Font Style21"/>
    <w:qFormat/>
    <w:rPr>
      <w:rFonts w:ascii="Times New Roman" w:hAnsi="Times New Roman" w:cs="Times New Roman"/>
      <w:sz w:val="22"/>
      <w:szCs w:val="22"/>
    </w:rPr>
  </w:style>
  <w:style w:type="character" w:styleId="kdkommNO">
    <w:name w:val="kd_komm_NO"/>
    <w:qFormat/>
    <w:rPr>
      <w:sz w:val="28"/>
      <w:szCs w:val="28"/>
      <w:shd w:fill="auto" w:val="clear"/>
    </w:rPr>
  </w:style>
  <w:style w:type="character" w:styleId="2">
    <w:name w:val="Заголовок 2 Знак"/>
    <w:qFormat/>
    <w:rPr>
      <w:b/>
      <w:bCs/>
      <w:sz w:val="36"/>
      <w:szCs w:val="36"/>
    </w:rPr>
  </w:style>
  <w:style w:type="character" w:styleId="Style17">
    <w:name w:val="Основной текст с отступом Знак"/>
    <w:qFormat/>
    <w:rPr>
      <w:rFonts w:eastAsia="Calibri"/>
      <w:sz w:val="24"/>
      <w:szCs w:val="24"/>
    </w:rPr>
  </w:style>
  <w:style w:type="character" w:styleId="Style18">
    <w:name w:val="Текст Знак"/>
    <w:qFormat/>
    <w:rPr>
      <w:rFonts w:ascii="Consolas" w:hAnsi="Consolas" w:eastAsia="Calibri" w:cs="Consolas"/>
      <w:sz w:val="21"/>
      <w:szCs w:val="21"/>
    </w:rPr>
  </w:style>
  <w:style w:type="character" w:styleId="Style19">
    <w:name w:val="Абзац списка Знак"/>
    <w:qFormat/>
    <w:rPr>
      <w:sz w:val="24"/>
      <w:szCs w:val="24"/>
    </w:rPr>
  </w:style>
  <w:style w:type="character" w:styleId="FontStyle19">
    <w:name w:val="Font Style19"/>
    <w:qFormat/>
    <w:rPr>
      <w:rFonts w:ascii="Arial" w:hAnsi="Arial" w:cs="Arial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Mangal"/>
    </w:rPr>
  </w:style>
  <w:style w:type="paragraph" w:styleId="00Normal11">
    <w:name w:val="00_Normal11"/>
    <w:basedOn w:val="Normal"/>
    <w:qFormat/>
    <w:pPr>
      <w:autoSpaceDE w:val="false"/>
      <w:spacing w:lineRule="auto" w:line="288"/>
      <w:ind w:firstLine="397" w:start="0" w:end="0"/>
      <w:jc w:val="both"/>
    </w:pPr>
    <w:rPr>
      <w:rFonts w:ascii="Times" w:hAnsi="Times" w:cs="Times"/>
      <w:color w:val="000000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2">
    <w:name w:val="Body Text 2"/>
    <w:basedOn w:val="Normal"/>
    <w:qFormat/>
    <w:pPr>
      <w:spacing w:lineRule="auto" w:line="360"/>
    </w:pPr>
    <w:rPr>
      <w:szCs w:val="20"/>
    </w:rPr>
  </w:style>
  <w:style w:type="paragraph" w:styleId="Style21">
    <w:name w:val="Содержимое таблицы"/>
    <w:basedOn w:val="Normal"/>
    <w:qFormat/>
    <w:pPr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Содержимое врезки"/>
    <w:basedOn w:val="BodyText"/>
    <w:qFormat/>
    <w:pPr/>
    <w:rPr/>
  </w:style>
  <w:style w:type="paragraph" w:styleId="Header">
    <w:name w:val="head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>
      <w:suppressAutoHyphens w:val="false"/>
    </w:pPr>
    <w:rPr>
      <w:sz w:val="20"/>
      <w:szCs w:val="20"/>
    </w:rPr>
  </w:style>
  <w:style w:type="paragraph" w:styleId="21">
    <w:name w:val="Список 21"/>
    <w:basedOn w:val="Normal"/>
    <w:qFormat/>
    <w:pPr>
      <w:ind w:hanging="283" w:start="566" w:end="0"/>
    </w:pPr>
    <w:rPr>
      <w:rFonts w:eastAsia="Calibri"/>
    </w:rPr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211">
    <w:name w:val="Основной текст (2)1"/>
    <w:basedOn w:val="Normal"/>
    <w:qFormat/>
    <w:pPr>
      <w:shd w:fill="FFFFFF" w:val="clear"/>
      <w:suppressAutoHyphens w:val="false"/>
      <w:spacing w:lineRule="exact" w:line="274" w:before="480" w:after="0"/>
    </w:pPr>
    <w:rPr>
      <w:rFonts w:eastAsia="Microsoft Sans Serif"/>
      <w:b/>
      <w:bCs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2">
    <w:name w:val="Пункт_2_заглав"/>
    <w:basedOn w:val="Normal"/>
    <w:next w:val="Normal"/>
    <w:qFormat/>
    <w:pPr>
      <w:keepNext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25">
    <w:name w:val="Абзац списка"/>
    <w:basedOn w:val="Normal"/>
    <w:qFormat/>
    <w:pPr>
      <w:suppressAutoHyphens w:val="false"/>
      <w:spacing w:before="0" w:after="0"/>
      <w:ind w:hanging="0" w:start="720" w:end="0"/>
      <w:contextualSpacing/>
      <w:jc w:val="both"/>
    </w:pPr>
    <w:rPr/>
  </w:style>
  <w:style w:type="paragraph" w:styleId="ListParagraph1">
    <w:name w:val="List Paragraph1"/>
    <w:basedOn w:val="Normal"/>
    <w:qFormat/>
    <w:pPr>
      <w:spacing w:lineRule="atLeast" w:line="100" w:before="0" w:after="200"/>
      <w:ind w:hanging="0" w:start="720" w:end="0"/>
    </w:pPr>
    <w:rPr>
      <w:kern w:val="2"/>
      <w:lang w:eastAsia="zh-CN"/>
    </w:rPr>
  </w:style>
  <w:style w:type="paragraph" w:styleId="Style81">
    <w:name w:val="Style8"/>
    <w:basedOn w:val="Normal"/>
    <w:qFormat/>
    <w:pPr>
      <w:widowControl w:val="false"/>
      <w:suppressAutoHyphens w:val="false"/>
      <w:autoSpaceDE w:val="false"/>
      <w:spacing w:lineRule="exact" w:line="277"/>
      <w:ind w:firstLine="328" w:start="0" w:end="0"/>
      <w:jc w:val="both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rFonts w:eastAsia="Calibri"/>
      <w:lang w:val="en-US"/>
    </w:rPr>
  </w:style>
  <w:style w:type="paragraph" w:styleId="Style26">
    <w:name w:val="Текст"/>
    <w:basedOn w:val="Normal"/>
    <w:qFormat/>
    <w:pPr>
      <w:suppressAutoHyphens w:val="false"/>
    </w:pPr>
    <w:rPr>
      <w:rFonts w:ascii="Consolas" w:hAnsi="Consolas" w:eastAsia="Calibri" w:cs="Consolas"/>
      <w:sz w:val="21"/>
      <w:szCs w:val="21"/>
      <w:lang w:val="en-US"/>
    </w:rPr>
  </w:style>
  <w:style w:type="paragraph" w:styleId="Style41">
    <w:name w:val="Style4"/>
    <w:basedOn w:val="Normal"/>
    <w:qFormat/>
    <w:pPr>
      <w:widowControl w:val="false"/>
      <w:suppressAutoHyphens w:val="false"/>
      <w:autoSpaceDE w:val="false"/>
      <w:spacing w:lineRule="exact" w:line="277"/>
    </w:pPr>
    <w:rPr/>
  </w:style>
  <w:style w:type="paragraph" w:styleId="13">
    <w:name w:val="Список1"/>
    <w:basedOn w:val="Normal"/>
    <w:qFormat/>
    <w:pPr>
      <w:suppressAutoHyphens w:val="false"/>
      <w:spacing w:lineRule="auto" w:line="276" w:before="0" w:after="100"/>
      <w:jc w:val="both"/>
    </w:pPr>
    <w:rPr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vkina@vodokanal-kam.ru" TargetMode="External"/><Relationship Id="rId3" Type="http://schemas.openxmlformats.org/officeDocument/2006/relationships/hyperlink" Target="http://www.zakupki.gov.ru/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2023-03-16T13:26:00Z</dcterms:created>
  <dc:creator>user</dc:creator>
  <dc:description/>
  <cp:keywords/>
  <dc:language>en-US</dc:language>
  <cp:lastModifiedBy>sm</cp:lastModifiedBy>
  <cp:lastPrinted>2025-02-07T14:20:00Z</cp:lastPrinted>
  <dcterms:modified xsi:type="dcterms:W3CDTF">2025-03-03T05:54:00Z</dcterms:modified>
  <cp:revision>27</cp:revision>
  <dc:subject/>
  <dc:title>Утверждено</dc:title>
</cp:coreProperties>
</file>