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ЗАСЕДАНИЯ КОМИССИИ ПО ПРЕДВАРИТЕЛЬНОМУ РАССМОТРЕНИЮ И ОЦЕНКЕ ПО ОТБОРОЧНЫМ КРИТЕРИЯМ ЗАЯВОК УЧАСТНИКОВ (1391)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jc w:val="end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>
          <w:highlight w:val="yellow"/>
        </w:rPr>
        <w:t>26 февраля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yanen24713DP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32414339009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jc w:val="both"/>
        <w:rPr/>
      </w:pPr>
      <w:r>
        <w:rPr/>
        <w:t>Способ закупки:</w:t>
      </w:r>
      <w:r>
        <w:rPr>
          <w:b w:val="false"/>
        </w:rPr>
        <w:t xml:space="preserve"> Запрос котировок в электронной форме.</w:t>
      </w:r>
    </w:p>
    <w:p>
      <w:pPr>
        <w:pStyle w:val="variable"/>
        <w:jc w:val="both"/>
        <w:rPr/>
      </w:pPr>
      <w:r>
        <w:rPr/>
        <w:t>Сведения об организаторе:</w:t>
      </w:r>
      <w:r>
        <w:rPr>
          <w:b w:val="false"/>
        </w:rPr>
        <w:t xml:space="preserve"> АКЦИОНЕРНОЕ ОБЩЕСТВО "РОССЕТИ ЯНТАРЬ" (ИНН: 3903007130, КПП: 390601001, ОГРН: 1023900764832).</w:t>
      </w:r>
    </w:p>
    <w:p>
      <w:pPr>
        <w:pStyle w:val="text"/>
        <w:jc w:val="both"/>
        <w:rPr/>
      </w:pPr>
      <w:r>
        <w:rPr/>
        <w:t>Место нахождения: 236022, ОБЛАСТЬ КАЛИНИНГРАДСКАЯ,ГОРОД КАЛИНИНГРАД,УЛИЦА ТЕАТРАЛЬНАЯ, дом ДОМ 34.</w:t>
      </w:r>
    </w:p>
    <w:p>
      <w:pPr>
        <w:pStyle w:val="text"/>
        <w:jc w:val="both"/>
        <w:rPr/>
      </w:pPr>
      <w:r>
        <w:rPr/>
        <w:t>Почтовый адрес: 236022, ОБЛАСТЬ КАЛИНИНГРАДСКАЯ,ГОРОД КАЛИНИНГРАД,УЛИЦА ТЕАТРАЛЬНАЯ, дом ДОМ 34.</w:t>
      </w:r>
    </w:p>
    <w:p>
      <w:pPr>
        <w:pStyle w:val="variable"/>
        <w:jc w:val="both"/>
        <w:rPr/>
      </w:pPr>
      <w:r>
        <w:rPr/>
        <w:t>Сведения о заказчике:</w:t>
      </w:r>
      <w:r>
        <w:rPr>
          <w:b w:val="false"/>
        </w:rPr>
        <w:t xml:space="preserve"> АКЦИОНЕРНОЕ ОБЩЕСТВО "РОССЕТИ ЯНТАРЬ" (ИНН: 3903007130, КПП: 390601001, ОГРН: 1023900764832).</w:t>
      </w:r>
    </w:p>
    <w:p>
      <w:pPr>
        <w:pStyle w:val="text"/>
        <w:jc w:val="both"/>
        <w:rPr/>
      </w:pPr>
      <w:r>
        <w:rPr/>
        <w:t>Место нахождения: 236022, ОБЛАСТЬ КАЛИНИНГРАДСКАЯ,ГОРОД КАЛИНИНГРАД,УЛИЦА ТЕАТРАЛЬНАЯ, дом ДОМ 34.</w:t>
      </w:r>
    </w:p>
    <w:p>
      <w:pPr>
        <w:pStyle w:val="text"/>
        <w:jc w:val="both"/>
        <w:rPr/>
      </w:pPr>
      <w:r>
        <w:rPr/>
        <w:t>Почтовый адрес: 236022, ОБЛАСТЬ КАЛИНИНГРАДСКАЯ,ГОРОД КАЛИНИНГРАД,УЛИЦА ТЕАТРАЛЬНАЯ, дом ДОМ 34.</w:t>
      </w:r>
    </w:p>
    <w:p>
      <w:pPr>
        <w:pStyle w:val="variable"/>
        <w:jc w:val="both"/>
        <w:rPr/>
      </w:pPr>
      <w:r>
        <w:rPr/>
        <w:t>Контактная информация:</w:t>
      </w:r>
      <w:r>
        <w:rPr>
          <w:b w:val="false"/>
        </w:rPr>
        <w:t xml:space="preserve"> Дятлова Ю. Ю., тел.: +7 (4012) 57-62-34, e-mail: Dyatlova-YY@Rosseti-Yantar.Ru</w:t>
      </w:r>
    </w:p>
    <w:p>
      <w:pPr>
        <w:pStyle w:val="variable"/>
        <w:jc w:val="both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Акционерное общество «Российский аукционный дом» (ИНН: 7838430413, КПП: 783801001, ОГРН: 1097847233351).</w:t>
      </w:r>
    </w:p>
    <w:p>
      <w:pPr>
        <w:pStyle w:val="text"/>
        <w:jc w:val="both"/>
        <w:rPr/>
      </w:pPr>
      <w:r>
        <w:rPr/>
        <w:t>Место нахождения: РФ, 190000, г. Санкт-Петербург, переулок Гривцова, дом 5, литера B.</w:t>
      </w:r>
    </w:p>
    <w:p>
      <w:pPr>
        <w:pStyle w:val="text"/>
        <w:jc w:val="both"/>
        <w:rPr/>
      </w:pPr>
      <w:r>
        <w:rPr/>
        <w:t>Почтовый адрес: РФ, 190000, г. Санкт-Петербург, переулок Гривцова, дом 5, литера B.</w:t>
      </w:r>
    </w:p>
    <w:p>
      <w:pPr>
        <w:pStyle w:val="text"/>
        <w:jc w:val="both"/>
        <w:rPr/>
      </w:pPr>
      <w:r>
        <w:rPr/>
        <w:t>Техническая поддержка: тел.: 8 800 777 57 57, эл. почта: 223s@lot-online.ru</w:t>
      </w:r>
    </w:p>
    <w:p>
      <w:pPr>
        <w:pStyle w:val="variable"/>
        <w:jc w:val="both"/>
        <w:rPr/>
      </w:pPr>
      <w:r>
        <w:rPr/>
        <w:t>Наименование закупки:</w:t>
      </w:r>
      <w:r>
        <w:rPr>
          <w:b w:val="false"/>
        </w:rPr>
        <w:t xml:space="preserve"> Поставка запасных частей к выключателям</w:t>
      </w:r>
    </w:p>
    <w:p>
      <w:pPr>
        <w:pStyle w:val="variable"/>
        <w:jc w:val="both"/>
        <w:rPr/>
      </w:pPr>
      <w:r>
        <w:rPr/>
        <w:t>Предмет договора (лота):</w:t>
      </w:r>
      <w:r>
        <w:rPr>
          <w:b w:val="false"/>
        </w:rPr>
        <w:t xml:space="preserve"> Поставка запасных частей к выключателям.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3"/>
        <w:gridCol w:w="2654"/>
        <w:gridCol w:w="1479"/>
        <w:gridCol w:w="2760"/>
        <w:gridCol w:w="2342"/>
      </w:tblGrid>
      <w:tr>
        <w:trPr/>
        <w:tc>
          <w:tcPr>
            <w:tcW w:w="40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65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7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34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65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Комплектующие (запасные части) прочего электрического оборудования, не имеющие самостоятельных группировок</w:t>
            </w:r>
          </w:p>
        </w:tc>
        <w:tc>
          <w:tcPr>
            <w:tcW w:w="14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</w:t>
            </w:r>
          </w:p>
        </w:tc>
        <w:tc>
          <w:tcPr>
            <w:tcW w:w="27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27.90.33.110: Комплектующие (запасные части) прочего электрического оборудования, не имеющие самостоятельных группировок</w:t>
            </w:r>
          </w:p>
        </w:tc>
        <w:tc>
          <w:tcPr>
            <w:tcW w:w="234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27.90.9: Производство электрического оборудования прочего, не включенного в другие группировки</w:t>
            </w:r>
          </w:p>
        </w:tc>
      </w:tr>
    </w:tbl>
    <w:p>
      <w:pPr>
        <w:pStyle w:val="variable"/>
        <w:jc w:val="both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Комплектующие (запасные части) прочего электрического оборудования, не имеющие самостоятельных группировок: 1 Условная единица.</w:t>
      </w:r>
    </w:p>
    <w:p>
      <w:pPr>
        <w:pStyle w:val="variable"/>
        <w:jc w:val="both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1 987 200,00 руб.</w:t>
      </w:r>
    </w:p>
    <w:p>
      <w:pPr>
        <w:pStyle w:val="variable"/>
        <w:jc w:val="both"/>
        <w:rPr/>
      </w:pPr>
      <w:r>
        <w:rPr/>
        <w:t>Начальная (максимальная) цена договора (лота) без НДС:</w:t>
      </w:r>
      <w:r>
        <w:rPr>
          <w:b w:val="false"/>
        </w:rPr>
        <w:t xml:space="preserve"> 1 656 000,00 руб.</w:t>
      </w:r>
    </w:p>
    <w:p>
      <w:pPr>
        <w:pStyle w:val="variable"/>
        <w:jc w:val="both"/>
        <w:rPr/>
      </w:pPr>
      <w:r>
        <w:rPr/>
        <w:t>Сумма НДС:</w:t>
      </w:r>
      <w:r>
        <w:rPr>
          <w:b w:val="false"/>
        </w:rPr>
        <w:t xml:space="preserve"> 331 200,00 руб.</w:t>
      </w:r>
    </w:p>
    <w:p>
      <w:pPr>
        <w:pStyle w:val="variable"/>
        <w:jc w:val="both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16 декабря 2024 года по 24 декабря 2024 года.</w:t>
      </w:r>
    </w:p>
    <w:p>
      <w:pPr>
        <w:pStyle w:val="variable"/>
        <w:jc w:val="both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jc w:val="both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jc w:val="both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https://tender.lot-online.ru, http://zakupki.gov.ru.</w:t>
      </w:r>
    </w:p>
    <w:p>
      <w:pPr>
        <w:pStyle w:val="variable"/>
        <w:jc w:val="both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jc w:val="both"/>
        <w:rPr/>
      </w:pPr>
      <w:r>
        <w:rPr/>
        <w:t>Место подачи заявок: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jc w:val="both"/>
        <w:rPr/>
      </w:pPr>
      <w:r>
        <w:rPr/>
        <w:t>Дата и время начала подачи заявок:</w:t>
      </w:r>
      <w:r>
        <w:rPr>
          <w:b w:val="false"/>
        </w:rPr>
        <w:t xml:space="preserve"> 15 декабря 2024 года в 23:00 MCK-1.</w:t>
      </w:r>
    </w:p>
    <w:p>
      <w:pPr>
        <w:pStyle w:val="variable"/>
        <w:jc w:val="both"/>
        <w:rPr/>
      </w:pPr>
      <w:r>
        <w:rPr/>
        <w:t>Дата и время окончания подачи заявок:</w:t>
      </w:r>
      <w:r>
        <w:rPr>
          <w:b w:val="false"/>
        </w:rPr>
        <w:t xml:space="preserve"> 24 декабря 2024 года в 14:00 MCK-1.</w:t>
      </w:r>
    </w:p>
    <w:p>
      <w:pPr>
        <w:pStyle w:val="variable"/>
        <w:jc w:val="both"/>
        <w:rPr/>
      </w:pPr>
      <w:r>
        <w:rPr/>
        <w:t>Место и дата рассмотрения заявок:</w:t>
      </w:r>
      <w:r>
        <w:rPr>
          <w:b w:val="false"/>
        </w:rPr>
        <w:t xml:space="preserve"> АКЦИОНЕРНОЕ ОБЩЕСТВО «РОССИЙСКИЙ АУКЦИОННЫЙ ДОМ» (https://lot-online.ru), 14 января 2025 года.</w:t>
      </w:r>
    </w:p>
    <w:p>
      <w:pPr>
        <w:pStyle w:val="variable"/>
        <w:jc w:val="both"/>
        <w:rPr/>
      </w:pPr>
      <w:r>
        <w:rPr/>
        <w:t>Место и дата подведения итогов закупки:</w:t>
      </w:r>
      <w:r>
        <w:rPr>
          <w:b w:val="false"/>
        </w:rPr>
        <w:t xml:space="preserve"> АКЦИОНЕРНОЕ ОБЩЕСТВО «РОССИЙСКИЙ АУКЦИОННЫЙ ДОМ» (https://lot-online.ru), 17 января 2025 года.</w:t>
      </w:r>
    </w:p>
    <w:p>
      <w:pPr>
        <w:pStyle w:val="centered"/>
        <w:jc w:val="start"/>
        <w:rPr>
          <w:b/>
        </w:rPr>
      </w:pPr>
      <w:r>
        <w:rPr>
          <w:b/>
        </w:rPr>
        <w:t xml:space="preserve">Сведения об участниках, подавших заявки на участие в закупке: </w:t>
      </w:r>
    </w:p>
    <w:tbl>
      <w:tblPr>
        <w:tblW w:w="515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9"/>
        <w:gridCol w:w="4195"/>
        <w:gridCol w:w="5173"/>
      </w:tblGrid>
      <w:tr>
        <w:trPr/>
        <w:tc>
          <w:tcPr>
            <w:tcW w:w="559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lang w:val="en-US"/>
              </w:rPr>
              <w:t xml:space="preserve">N </w:t>
            </w:r>
            <w:r>
              <w:rPr>
                <w:b/>
              </w:rPr>
              <w:t>п/п</w:t>
            </w:r>
          </w:p>
        </w:tc>
        <w:tc>
          <w:tcPr>
            <w:tcW w:w="4195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Рег. номер заявки</w:t>
            </w:r>
          </w:p>
        </w:tc>
        <w:tc>
          <w:tcPr>
            <w:tcW w:w="5173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</w:tr>
      <w:tr>
        <w:trPr>
          <w:trHeight w:val="37" w:hRule="atLeast"/>
        </w:trPr>
        <w:tc>
          <w:tcPr>
            <w:tcW w:w="559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195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Заявка № 342077</w:t>
            </w:r>
          </w:p>
        </w:tc>
        <w:tc>
          <w:tcPr>
            <w:tcW w:w="5173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20.12.2024 12:15:12 MCK-1</w:t>
            </w:r>
          </w:p>
        </w:tc>
      </w:tr>
      <w:tr>
        <w:trPr>
          <w:trHeight w:val="37" w:hRule="atLeast"/>
        </w:trPr>
        <w:tc>
          <w:tcPr>
            <w:tcW w:w="559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195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Заявка № 342633</w:t>
            </w:r>
          </w:p>
        </w:tc>
        <w:tc>
          <w:tcPr>
            <w:tcW w:w="5173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23.12.2024 10:52:10 MCK-1</w:t>
            </w:r>
          </w:p>
        </w:tc>
      </w:tr>
      <w:tr>
        <w:trPr>
          <w:trHeight w:val="37" w:hRule="atLeast"/>
        </w:trPr>
        <w:tc>
          <w:tcPr>
            <w:tcW w:w="559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195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Заявка № 343352</w:t>
            </w:r>
          </w:p>
        </w:tc>
        <w:tc>
          <w:tcPr>
            <w:tcW w:w="5173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24.12.2024 10:48:34 MCK-1</w:t>
            </w:r>
          </w:p>
        </w:tc>
      </w:tr>
    </w:tbl>
    <w:p>
      <w:pPr>
        <w:pStyle w:val="text"/>
        <w:jc w:val="both"/>
        <w:rPr/>
      </w:pPr>
      <w:r>
        <w:rPr>
          <w:b/>
          <w:u w:val="single"/>
        </w:rPr>
        <w:t>РЕШЕНИЕ</w:t>
      </w:r>
      <w:r>
        <w:rPr/>
        <w:t>:</w:t>
      </w:r>
    </w:p>
    <w:p>
      <w:pPr>
        <w:pStyle w:val="text"/>
        <w:jc w:val="both"/>
        <w:rPr/>
      </w:pPr>
      <w:r>
        <w:rPr/>
        <w:t>1.</w:t>
        <w:tab/>
      </w:r>
      <w:r>
        <w:rPr>
          <w:b/>
        </w:rPr>
        <w:t>Об изменении сроков проведения закупки:</w:t>
      </w:r>
    </w:p>
    <w:p>
      <w:pPr>
        <w:pStyle w:val="text"/>
        <w:jc w:val="both"/>
        <w:rPr/>
      </w:pPr>
      <w:r>
        <w:rPr/>
        <w:t>В соответствии с п. 13 таблицы 1 части II «ИНФОРМАЦИОННАЯ КАРТА ЗАКУПКИ» предлагается продлить срок:</w:t>
      </w:r>
    </w:p>
    <w:p>
      <w:pPr>
        <w:pStyle w:val="text"/>
        <w:jc w:val="both"/>
        <w:rPr/>
      </w:pPr>
      <w:r>
        <w:rPr/>
        <w:t>- подведения итогов до «06» марта 2025 года (включительно).</w:t>
      </w:r>
    </w:p>
    <w:p>
      <w:pPr>
        <w:pStyle w:val="text"/>
        <w:jc w:val="both"/>
        <w:rPr>
          <w:b/>
        </w:rPr>
      </w:pPr>
      <w:r>
        <w:rPr/>
        <w:t>2.</w:t>
        <w:tab/>
      </w:r>
      <w:r>
        <w:rPr>
          <w:b/>
        </w:rPr>
        <w:t>Сведения об участниках, допущенных к участию в закупке:</w:t>
      </w:r>
    </w:p>
    <w:p>
      <w:pPr>
        <w:pStyle w:val="text"/>
        <w:jc w:val="both"/>
        <w:rPr>
          <w:b/>
        </w:rPr>
      </w:pPr>
      <w:r>
        <w:rPr>
          <w:b/>
        </w:rPr>
      </w:r>
    </w:p>
    <w:tbl>
      <w:tblPr>
        <w:tblW w:w="515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6"/>
        <w:gridCol w:w="1399"/>
        <w:gridCol w:w="2516"/>
        <w:gridCol w:w="1120"/>
        <w:gridCol w:w="4336"/>
      </w:tblGrid>
      <w:tr>
        <w:trPr/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pacing w:lineRule="atLeast" w:line="19"/>
              <w:jc w:val="center"/>
              <w:rPr/>
            </w:pPr>
            <w:r>
              <w:rPr>
                <w:b/>
                <w:sz w:val="22"/>
                <w:lang w:val="en-US"/>
              </w:rPr>
              <w:t xml:space="preserve">N </w:t>
            </w:r>
            <w:r>
              <w:rPr>
                <w:b/>
                <w:sz w:val="22"/>
              </w:rPr>
              <w:t>п/п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Рег. номер заявки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Предложение участника, руб. (без НДС /с НДС)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center"/>
              <w:rPr>
                <w:b/>
                <w:sz w:val="22"/>
              </w:rPr>
            </w:pPr>
            <w:r>
              <w:rPr>
                <w:b/>
                <w:bCs/>
                <w:sz w:val="22"/>
              </w:rPr>
              <w:t>Решение по заявке</w:t>
            </w:r>
          </w:p>
        </w:tc>
        <w:tc>
          <w:tcPr>
            <w:tcW w:w="433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center"/>
              <w:rPr>
                <w:b/>
                <w:sz w:val="22"/>
              </w:rPr>
            </w:pPr>
            <w:r>
              <w:rPr>
                <w:b/>
                <w:bCs/>
                <w:sz w:val="22"/>
              </w:rPr>
              <w:t>Обоснование решения</w:t>
            </w:r>
          </w:p>
        </w:tc>
      </w:tr>
      <w:tr>
        <w:trPr/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pacing w:lineRule="atLeast" w:line="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Заявка № 342077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rFonts w:eastAsia="Times New Roman" w:cs="Times New Roman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bidi="ar-SA"/>
              </w:rPr>
              <w:t>1 656 000,00 руб. без НДС, 1 987 200,00 руб. с НДС</w:t>
            </w:r>
          </w:p>
          <w:p>
            <w:pPr>
              <w:pStyle w:val="TableContents"/>
              <w:spacing w:lineRule="atLeast" w:line="19"/>
              <w:jc w:val="center"/>
              <w:rPr>
                <w:rFonts w:eastAsia="Times New Roman" w:cs="Times New Roman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bidi="ar-SA"/>
              </w:rPr>
              <w:t>Процент снижения:</w:t>
            </w:r>
          </w:p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bidi="ar-SA"/>
              </w:rPr>
              <w:t>0.00%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Допущена</w:t>
            </w:r>
          </w:p>
        </w:tc>
        <w:tc>
          <w:tcPr>
            <w:tcW w:w="433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both"/>
              <w:rPr>
                <w:sz w:val="22"/>
              </w:rPr>
            </w:pPr>
            <w:r>
              <w:rPr>
                <w:sz w:val="22"/>
              </w:rPr>
              <w:t>Участник и общая часть его заявки соответствуют требованиям документации о закупке и Единого стандарта закупок ПАО «Россети».</w:t>
            </w:r>
          </w:p>
        </w:tc>
      </w:tr>
      <w:tr>
        <w:trPr/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pacing w:lineRule="atLeast" w:line="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Заявка № 342633  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1 650 100,00 руб. без НДС, 1 980 120,00 руб. с НДС</w:t>
            </w:r>
          </w:p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Процент снижения:</w:t>
            </w:r>
          </w:p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0.36%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Допущена</w:t>
            </w:r>
          </w:p>
        </w:tc>
        <w:tc>
          <w:tcPr>
            <w:tcW w:w="433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both"/>
              <w:rPr>
                <w:sz w:val="22"/>
              </w:rPr>
            </w:pPr>
            <w:r>
              <w:rPr>
                <w:sz w:val="22"/>
              </w:rPr>
              <w:t>Участник и общая часть его заявки соответствуют требованиям документации о закупке и Единого стандарта закупок ПАО «Россети».</w:t>
            </w:r>
          </w:p>
        </w:tc>
      </w:tr>
      <w:tr>
        <w:trPr/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pacing w:lineRule="atLeast" w:line="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Заявка </w:t>
            </w:r>
            <w:bookmarkStart w:id="0" w:name="_Hlk191460567"/>
            <w:r>
              <w:rPr>
                <w:sz w:val="22"/>
              </w:rPr>
              <w:t>№ 343352</w:t>
            </w:r>
            <w:bookmarkEnd w:id="0"/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1 656 000,00 руб. без НДС, 1 987 200,00 руб. с НДС</w:t>
            </w:r>
          </w:p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Процент снижения:</w:t>
            </w:r>
          </w:p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0.00%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Допущена</w:t>
            </w:r>
          </w:p>
        </w:tc>
        <w:tc>
          <w:tcPr>
            <w:tcW w:w="433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both"/>
              <w:rPr>
                <w:sz w:val="22"/>
              </w:rPr>
            </w:pPr>
            <w:r>
              <w:rPr>
                <w:sz w:val="22"/>
              </w:rPr>
              <w:t>Участник и общая часть его заявки соответствуют требованиям документации о закупке и Единого стандарта закупок ПАО «Россети».</w:t>
            </w:r>
          </w:p>
        </w:tc>
      </w:tr>
    </w:tbl>
    <w:p>
      <w:pPr>
        <w:pStyle w:val="Style15"/>
        <w:widowControl w:val="false"/>
        <w:numPr>
          <w:ilvl w:val="0"/>
          <w:numId w:val="3"/>
        </w:numPr>
        <w:tabs>
          <w:tab w:val="clear" w:pos="709"/>
          <w:tab w:val="left" w:pos="567" w:leader="none"/>
        </w:tabs>
        <w:spacing w:lineRule="atLeast" w:line="19"/>
        <w:rPr>
          <w:rFonts w:eastAsia="Lucida Sans Unicode" w:cs="Tahoma"/>
          <w:b/>
          <w:kern w:val="2"/>
          <w:lang w:bidi="ru-RU"/>
        </w:rPr>
      </w:pPr>
      <w:r>
        <w:rPr>
          <w:b/>
        </w:rPr>
        <w:t>Сведения о</w:t>
      </w:r>
      <w:r>
        <w:rPr>
          <w:rFonts w:eastAsia="Lucida Sans Unicode" w:cs="Tahoma"/>
          <w:b/>
          <w:kern w:val="2"/>
          <w:lang w:bidi="ru-RU"/>
        </w:rPr>
        <w:t xml:space="preserve"> проведении переторжки</w:t>
      </w:r>
    </w:p>
    <w:p>
      <w:pPr>
        <w:pStyle w:val="Normal"/>
        <w:tabs>
          <w:tab w:val="left" w:pos="0" w:leader="none"/>
          <w:tab w:val="left" w:pos="567" w:leader="none"/>
          <w:tab w:val="left" w:pos="709" w:leader="none"/>
        </w:tabs>
        <w:spacing w:lineRule="atLeast" w:line="19" w:before="0" w:after="0"/>
        <w:contextualSpacing/>
        <w:jc w:val="both"/>
        <w:rPr/>
      </w:pPr>
      <w:bookmarkStart w:id="1" w:name="_Hlk182293987"/>
      <w:r>
        <w:rPr/>
        <w:t>Провести процедуру переторжки в соответствии с Регламентом проведения переторжки в рамках проведения конкурса в электронной форме на ЭТП «</w:t>
      </w:r>
      <w:r>
        <w:rPr>
          <w:shd w:fill="FFFFFF" w:val="clear"/>
        </w:rPr>
        <w:t>www.tender.lot-online.ru</w:t>
      </w:r>
      <w:r>
        <w:rPr>
          <w:bCs/>
        </w:rPr>
        <w:t xml:space="preserve">» и требованиями </w:t>
      </w:r>
      <w:r>
        <w:rPr/>
        <w:t>документации о закупке в режиме «online».</w:t>
      </w:r>
    </w:p>
    <w:p>
      <w:pPr>
        <w:pStyle w:val="Normal"/>
        <w:tabs>
          <w:tab w:val="clear" w:pos="709"/>
          <w:tab w:val="left" w:pos="500" w:leader="none"/>
          <w:tab w:val="left" w:pos="567" w:leader="none"/>
          <w:tab w:val="left" w:pos="993" w:leader="none"/>
          <w:tab w:val="left" w:pos="4680" w:leader="none"/>
        </w:tabs>
        <w:spacing w:lineRule="atLeast" w:line="19"/>
        <w:jc w:val="both"/>
        <w:rPr>
          <w:b/>
        </w:rPr>
      </w:pPr>
      <w:bookmarkStart w:id="2" w:name="_Hlk148444974"/>
      <w:bookmarkStart w:id="3" w:name="_Hlk133493898"/>
      <w:r>
        <w:rPr/>
        <w:t xml:space="preserve">Пригласить к участию в переторжке: 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67" w:leader="none"/>
        </w:tabs>
        <w:autoSpaceDE w:val="false"/>
        <w:spacing w:lineRule="atLeast" w:line="19"/>
        <w:ind w:hanging="720" w:start="720" w:end="0"/>
        <w:jc w:val="both"/>
        <w:rPr/>
      </w:pPr>
      <w:r>
        <w:rPr>
          <w:b/>
        </w:rPr>
        <w:t xml:space="preserve">№ </w:t>
      </w:r>
      <w:r>
        <w:rPr>
          <w:b/>
        </w:rPr>
        <w:t>342077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67" w:leader="none"/>
        </w:tabs>
        <w:autoSpaceDE w:val="false"/>
        <w:spacing w:lineRule="atLeast" w:line="19"/>
        <w:ind w:hanging="720" w:start="720" w:end="0"/>
        <w:jc w:val="both"/>
        <w:rPr>
          <w:b/>
        </w:rPr>
      </w:pPr>
      <w:r>
        <w:rPr>
          <w:b/>
        </w:rPr>
        <w:t xml:space="preserve">№ </w:t>
      </w:r>
      <w:r>
        <w:rPr>
          <w:b/>
        </w:rPr>
        <w:t xml:space="preserve">342633  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67" w:leader="none"/>
        </w:tabs>
        <w:autoSpaceDE w:val="false"/>
        <w:spacing w:lineRule="atLeast" w:line="19"/>
        <w:ind w:hanging="720" w:start="720" w:end="0"/>
        <w:jc w:val="both"/>
        <w:rPr>
          <w:b/>
        </w:rPr>
      </w:pPr>
      <w:r>
        <w:rPr>
          <w:b/>
        </w:rPr>
        <w:t xml:space="preserve">№ </w:t>
      </w:r>
      <w:r>
        <w:rPr>
          <w:b/>
        </w:rPr>
        <w:t>343352</w:t>
      </w:r>
    </w:p>
    <w:p>
      <w:pPr>
        <w:pStyle w:val="Normal"/>
        <w:tabs>
          <w:tab w:val="clear" w:pos="709"/>
          <w:tab w:val="left" w:pos="567" w:leader="none"/>
        </w:tabs>
        <w:autoSpaceDE w:val="false"/>
        <w:spacing w:lineRule="atLeast" w:line="19"/>
        <w:ind w:start="720" w:end="0"/>
        <w:jc w:val="both"/>
        <w:rPr>
          <w:b/>
        </w:rPr>
      </w:pPr>
      <w:r>
        <w:rPr>
          <w:b/>
        </w:rPr>
      </w:r>
    </w:p>
    <w:p>
      <w:pPr>
        <w:pStyle w:val="Normal"/>
        <w:tabs>
          <w:tab w:val="clear" w:pos="709"/>
          <w:tab w:val="left" w:pos="567" w:leader="none"/>
        </w:tabs>
        <w:autoSpaceDE w:val="false"/>
        <w:spacing w:lineRule="atLeast" w:line="19"/>
        <w:jc w:val="both"/>
        <w:rPr/>
      </w:pPr>
      <w:r>
        <w:rPr/>
        <w:t>Дата начала проведения этапа переторжки: с момента публикации на ЭТП настоящего протокола.</w:t>
      </w:r>
    </w:p>
    <w:p>
      <w:pPr>
        <w:pStyle w:val="Normal"/>
        <w:tabs>
          <w:tab w:val="clear" w:pos="709"/>
          <w:tab w:val="left" w:pos="567" w:leader="none"/>
        </w:tabs>
        <w:autoSpaceDE w:val="false"/>
        <w:spacing w:lineRule="atLeast" w:line="19"/>
        <w:jc w:val="both"/>
        <w:rPr/>
      </w:pPr>
      <w:r>
        <w:rPr/>
        <w:t>Срок проведения переторжки: не менее 24 (двадцати четырех) часов.</w:t>
      </w:r>
    </w:p>
    <w:p>
      <w:pPr>
        <w:pStyle w:val="Normal"/>
        <w:tabs>
          <w:tab w:val="clear" w:pos="709"/>
          <w:tab w:val="left" w:pos="567" w:leader="none"/>
        </w:tabs>
        <w:autoSpaceDE w:val="false"/>
        <w:spacing w:lineRule="atLeast" w:line="19"/>
        <w:jc w:val="both"/>
        <w:rPr/>
      </w:pPr>
      <w:bookmarkStart w:id="4" w:name="_Hlk182293987"/>
      <w:bookmarkStart w:id="5" w:name="_Hlk148444974"/>
      <w:bookmarkStart w:id="6" w:name="_Hlk133493898"/>
      <w:r>
        <w:rPr/>
        <w:t xml:space="preserve">Шаг переторжки: </w:t>
      </w:r>
      <w:bookmarkEnd w:id="4"/>
      <w:bookmarkEnd w:id="5"/>
      <w:bookmarkEnd w:id="6"/>
      <w:r>
        <w:rPr/>
        <w:t>0,6 – 1,0 % от начальной (максимальной) цены договора(лота) с НДС.</w:t>
      </w:r>
    </w:p>
    <w:p>
      <w:pPr>
        <w:pStyle w:val="Normal"/>
        <w:tabs>
          <w:tab w:val="clear" w:pos="709"/>
          <w:tab w:val="left" w:pos="567" w:leader="none"/>
        </w:tabs>
        <w:autoSpaceDE w:val="false"/>
        <w:spacing w:lineRule="atLeast" w:line="19"/>
        <w:jc w:val="both"/>
        <w:rPr/>
      </w:pPr>
      <w:r>
        <w:rPr/>
      </w:r>
    </w:p>
    <w:p>
      <w:pPr>
        <w:pStyle w:val="Default1"/>
        <w:widowControl w:val="false"/>
        <w:spacing w:lineRule="atLeast" w:line="19"/>
        <w:jc w:val="both"/>
        <w:rPr>
          <w:b/>
          <w:u w:val="single"/>
        </w:rPr>
      </w:pPr>
      <w:bookmarkStart w:id="7" w:name="_Hlk113539111"/>
      <w:r>
        <w:rPr>
          <w:b/>
          <w:u w:val="single"/>
        </w:rPr>
        <w:t>ПУБЛИКАЦИЯ:</w:t>
      </w:r>
    </w:p>
    <w:p>
      <w:pPr>
        <w:pStyle w:val="Default1"/>
        <w:widowControl w:val="false"/>
        <w:numPr>
          <w:ilvl w:val="0"/>
          <w:numId w:val="4"/>
        </w:numPr>
        <w:spacing w:lineRule="atLeast" w:line="19"/>
        <w:ind w:hanging="0" w:start="0" w:end="-140"/>
        <w:jc w:val="both"/>
        <w:rPr/>
      </w:pPr>
      <w:r>
        <w:rPr/>
        <w:t>Настоящий протокол заседания Закупочной комиссии подлежит опубликованию:</w:t>
      </w:r>
    </w:p>
    <w:p>
      <w:pPr>
        <w:pStyle w:val="Default1"/>
        <w:widowControl w:val="false"/>
        <w:numPr>
          <w:ilvl w:val="0"/>
          <w:numId w:val="4"/>
        </w:numPr>
        <w:spacing w:lineRule="atLeast" w:line="19"/>
        <w:ind w:hanging="0" w:start="0" w:end="-140"/>
        <w:jc w:val="both"/>
        <w:rPr/>
      </w:pPr>
      <w:r>
        <w:rPr>
          <w:shd w:fill="FFFFFF" w:val="clear"/>
        </w:rPr>
        <w:t xml:space="preserve">в ЕИС на сайте «www.zakupki.gov.ru» </w:t>
      </w:r>
      <w:r>
        <w:rPr/>
        <w:t>не позднее чем через</w:t>
      </w:r>
      <w:r>
        <w:rPr>
          <w:b/>
        </w:rPr>
        <w:t xml:space="preserve"> </w:t>
      </w:r>
      <w:r>
        <w:rPr/>
        <w:t>три дня со дня его подписания;</w:t>
      </w:r>
    </w:p>
    <w:p>
      <w:pPr>
        <w:pStyle w:val="Default1"/>
        <w:widowControl w:val="false"/>
        <w:numPr>
          <w:ilvl w:val="0"/>
          <w:numId w:val="4"/>
        </w:numPr>
        <w:spacing w:lineRule="atLeast" w:line="19"/>
        <w:ind w:hanging="0" w:start="0" w:end="-140"/>
        <w:jc w:val="both"/>
        <w:rPr>
          <w:color w:val="000000"/>
        </w:rPr>
      </w:pPr>
      <w:r>
        <w:rPr/>
        <w:t xml:space="preserve">на сайте ЭТП </w:t>
      </w:r>
      <w:r>
        <w:rPr>
          <w:bCs/>
        </w:rPr>
        <w:t>«https://tender.lot-online.ru/</w:t>
      </w:r>
      <w:r>
        <w:rPr/>
        <w:t>»</w:t>
      </w:r>
      <w:r>
        <w:rPr>
          <w:shd w:fill="FFFFFF" w:val="clear"/>
        </w:rPr>
        <w:t>,</w:t>
      </w:r>
      <w:r>
        <w:rPr/>
        <w:t xml:space="preserve"> в формате протокола, формируемого на ЭТП.</w:t>
      </w:r>
      <w:bookmarkEnd w:id="7"/>
    </w:p>
    <w:p>
      <w:pPr>
        <w:pStyle w:val="Default1"/>
        <w:widowControl w:val="false"/>
        <w:spacing w:lineRule="atLeast" w:line="19"/>
        <w:ind w:end="-140"/>
        <w:jc w:val="both"/>
        <w:rPr>
          <w:color w:val="000000"/>
        </w:rPr>
      </w:pPr>
      <w:r>
        <w:rPr>
          <w:color w:val="000000"/>
        </w:rPr>
      </w:r>
    </w:p>
    <w:p>
      <w:pPr>
        <w:pStyle w:val="Default1"/>
        <w:widowControl w:val="false"/>
        <w:spacing w:lineRule="atLeast" w:line="19"/>
        <w:ind w:end="-140"/>
        <w:jc w:val="both"/>
        <w:rPr>
          <w:color w:val="000000"/>
        </w:rPr>
      </w:pPr>
      <w:r>
        <w:rPr>
          <w:color w:val="000000"/>
        </w:rPr>
      </w:r>
    </w:p>
    <w:p>
      <w:pPr>
        <w:pStyle w:val="Default1"/>
        <w:widowControl w:val="false"/>
        <w:spacing w:lineRule="atLeast" w:line="19"/>
        <w:ind w:end="-140"/>
        <w:jc w:val="both"/>
        <w:rPr>
          <w:color w:val="000000"/>
        </w:rPr>
      </w:pPr>
      <w:r>
        <w:rPr>
          <w:b/>
          <w:u w:val="single"/>
        </w:rPr>
        <w:t>ПРОТОКОЛ ПОДПИСАЛИ</w:t>
      </w:r>
      <w:r>
        <w:rPr>
          <w:b/>
        </w:rPr>
        <w:t>:</w:t>
      </w:r>
    </w:p>
    <w:p>
      <w:pPr>
        <w:pStyle w:val="Style15"/>
        <w:keepLines/>
        <w:spacing w:lineRule="atLeast" w:line="19"/>
        <w:ind w:start="0" w:end="0"/>
        <w:jc w:val="both"/>
        <w:rPr/>
      </w:pPr>
      <w:r>
        <w:rPr/>
        <w:t>Ответственный секретарь ЦКК</w:t>
      </w:r>
    </w:p>
    <w:p>
      <w:pPr>
        <w:pStyle w:val="text"/>
        <w:jc w:val="both"/>
        <w:rPr>
          <w:b/>
        </w:rPr>
      </w:pPr>
      <w:r>
        <w:rPr/>
        <w:t>(без права голоса):                                                                                                    В.О. Куманев</w:t>
      </w:r>
    </w:p>
    <w:p>
      <w:pPr>
        <w:pStyle w:val="Normal"/>
        <w:jc w:val="center"/>
        <w:rPr>
          <w:b/>
        </w:rPr>
      </w:pPr>
      <w:r>
        <w:rPr>
          <w:b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"/>
      <w:lvlJc w:val="start"/>
      <w:pPr>
        <w:tabs>
          <w:tab w:val="num" w:pos="709"/>
        </w:tabs>
        <w:ind w:star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b/>
        <w:rFonts w:cs="Times New Roman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cs="Times New Roman"/>
      <w:b/>
    </w:rPr>
  </w:style>
  <w:style w:type="character" w:styleId="WW8Num3z1">
    <w:name w:val="WW8Num3z1"/>
    <w:qFormat/>
    <w:rPr>
      <w:rFonts w:cs="Times New Roman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Style12">
    <w:name w:val="Абзац списка Знак"/>
    <w:qFormat/>
    <w:rPr>
      <w:sz w:val="24"/>
      <w:szCs w:val="24"/>
    </w:rPr>
  </w:style>
  <w:style w:type="character" w:styleId="Default">
    <w:name w:val="Default Знак"/>
    <w:qFormat/>
    <w:rPr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3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S Gothic;ＭＳ ゴシック" w:cs="Tahoma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4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4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pagebreaker">
    <w:name w:val="pagebreaker"/>
    <w:basedOn w:val="text"/>
    <w:next w:val="text"/>
    <w:qFormat/>
    <w:pPr>
      <w:keepNext w:val="true"/>
      <w:widowControl/>
    </w:pPr>
    <w:rPr/>
  </w:style>
  <w:style w:type="paragraph" w:styleId="captionFirstLine">
    <w:name w:val="captionFirstLine"/>
    <w:basedOn w:val="text"/>
    <w:next w:val="text"/>
    <w:qFormat/>
    <w:pPr>
      <w:keepNext w:val="false"/>
      <w:keepLines w:val="false"/>
      <w:pageBreakBefore/>
      <w:widowControl w:val="false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tyle15">
    <w:name w:val="Абзац списка"/>
    <w:basedOn w:val="Normal"/>
    <w:qFormat/>
    <w:pPr>
      <w:widowControl/>
      <w:suppressAutoHyphens w:val="false"/>
      <w:spacing w:before="0" w:after="0"/>
      <w:ind w:hanging="0" w:start="720" w:end="0"/>
      <w:contextualSpacing/>
    </w:pPr>
    <w:rPr>
      <w:rFonts w:eastAsia="Times New Roman" w:cs="Times New Roman"/>
      <w:kern w:val="0"/>
      <w:lang w:bidi="ar-SA"/>
    </w:rPr>
  </w:style>
  <w:style w:type="paragraph" w:styleId="Default1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2025-02-26T10:00:00Z</dcterms:created>
  <dc:creator/>
  <dc:description/>
  <cp:keywords/>
  <dc:language>en-US</dc:language>
  <cp:lastModifiedBy>Дятлова Юлия Юрьевна</cp:lastModifiedBy>
  <dcterms:modified xsi:type="dcterms:W3CDTF">2025-02-26T09:09:00Z</dcterms:modified>
  <cp:revision>3</cp:revision>
  <dc:subject/>
  <dc:title/>
</cp:coreProperties>
</file>