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messagecaption"/>
        <w:rPr/>
      </w:pPr>
      <w:r>
        <w:rPr/>
        <w:t>ПРОТОКОЛ ЗАСЕДАНИЯ КОМИССИИ ПО ПРЕДВАРИТЕЛЬНОМУ РАССМОТРЕНИЮ И ОЦЕНКЕ ПО ОТБОРОЧНЫМ КРИТЕРИЯМ ЗАЯВОК УЧАСТНИКОВ (1391)</w:t>
      </w:r>
    </w:p>
    <w:p>
      <w:pPr>
        <w:pStyle w:val="centered"/>
        <w:rPr>
          <w:b/>
        </w:rPr>
      </w:pPr>
      <w:r>
        <w:rPr>
          <w:b/>
        </w:rPr>
        <w:t>(в редакции № 1)</w:t>
      </w:r>
    </w:p>
    <w:p>
      <w:pPr>
        <w:pStyle w:val="messagesubcaption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3 марта 2025 года</w:t>
      </w:r>
    </w:p>
    <w:p>
      <w:pPr>
        <w:pStyle w:val="text"/>
        <w:rPr/>
      </w:pPr>
      <w:r>
        <w:rPr/>
        <w:t>ЦКК-10</w:t>
      </w:r>
    </w:p>
    <w:p>
      <w:pPr>
        <w:pStyle w:val="variable"/>
        <w:rPr/>
      </w:pPr>
      <w:r>
        <w:rPr/>
        <w:t>Номер процедуры:</w:t>
      </w:r>
      <w:r>
        <w:rPr>
          <w:b w:val="false"/>
        </w:rPr>
        <w:t xml:space="preserve"> yanen24712DP</w:t>
      </w:r>
    </w:p>
    <w:p>
      <w:pPr>
        <w:pStyle w:val="variable"/>
        <w:rPr/>
      </w:pPr>
      <w:r>
        <w:rPr/>
        <w:t>Реестровый номер (ЕИС):</w:t>
      </w:r>
      <w:r>
        <w:rPr>
          <w:b w:val="false"/>
        </w:rPr>
        <w:t xml:space="preserve"> 32414339006</w:t>
      </w:r>
    </w:p>
    <w:p>
      <w:pPr>
        <w:pStyle w:val="text"/>
        <w:rPr/>
      </w:pPr>
      <w:r>
        <w:rPr/>
      </w:r>
    </w:p>
    <w:p>
      <w:pPr>
        <w:pStyle w:val="centered"/>
        <w:rPr>
          <w:b/>
        </w:rPr>
      </w:pPr>
      <w:r>
        <w:rPr>
          <w:b/>
        </w:rPr>
        <w:t>I. Общие положения</w:t>
      </w:r>
    </w:p>
    <w:p>
      <w:pPr>
        <w:pStyle w:val="variable"/>
        <w:rPr/>
      </w:pPr>
      <w:r>
        <w:rPr/>
        <w:t>Способ закупки:</w:t>
      </w:r>
      <w:r>
        <w:rPr>
          <w:b w:val="false"/>
        </w:rPr>
        <w:t xml:space="preserve"> Запрос котировок в электронной форме.</w:t>
      </w:r>
    </w:p>
    <w:p>
      <w:pPr>
        <w:pStyle w:val="variable"/>
        <w:rPr/>
      </w:pPr>
      <w:r>
        <w:rPr/>
        <w:t>Сведения об организаторе:</w:t>
      </w:r>
      <w:r>
        <w:rPr>
          <w:b w:val="false"/>
        </w:rPr>
        <w:t xml:space="preserve"> АКЦИОНЕРНОЕ ОБЩЕСТВО "РОССЕТИ ЯНТАРЬ" (ИНН: 3903007130, КПП: 390601001, ОГРН: 1023900764832).</w:t>
      </w:r>
    </w:p>
    <w:p>
      <w:pPr>
        <w:pStyle w:val="text"/>
        <w:rPr/>
      </w:pPr>
      <w:r>
        <w:rPr/>
        <w:t>Место нахождения: 236022, ОБЛАСТЬ КАЛИНИНГРАДСКАЯ,ГОРОД КАЛИНИНГРАД,УЛИЦА ТЕАТРАЛЬНАЯ, дом ДОМ 34.</w:t>
      </w:r>
    </w:p>
    <w:p>
      <w:pPr>
        <w:pStyle w:val="text"/>
        <w:rPr/>
      </w:pPr>
      <w:r>
        <w:rPr/>
        <w:t>Почтовый адрес: 236022, ОБЛАСТЬ КАЛИНИНГРАДСКАЯ,ГОРОД КАЛИНИНГРАД,УЛИЦА ТЕАТРАЛЬНАЯ, дом ДОМ 34.</w:t>
      </w:r>
    </w:p>
    <w:p>
      <w:pPr>
        <w:pStyle w:val="variable"/>
        <w:rPr/>
      </w:pPr>
      <w:r>
        <w:rPr/>
        <w:t>Сведения о заказчике:</w:t>
      </w:r>
      <w:r>
        <w:rPr>
          <w:b w:val="false"/>
        </w:rPr>
        <w:t xml:space="preserve"> АКЦИОНЕРНОЕ ОБЩЕСТВО "РОССЕТИ ЯНТАРЬ" (ИНН: 3903007130, КПП: 390601001, ОГРН: 1023900764832).</w:t>
      </w:r>
    </w:p>
    <w:p>
      <w:pPr>
        <w:pStyle w:val="text"/>
        <w:rPr/>
      </w:pPr>
      <w:r>
        <w:rPr/>
        <w:t>Место нахождения: 236022, ОБЛАСТЬ КАЛИНИНГРАДСКАЯ,ГОРОД КАЛИНИНГРАД,УЛИЦА ТЕАТРАЛЬНАЯ, дом ДОМ 34.</w:t>
      </w:r>
    </w:p>
    <w:p>
      <w:pPr>
        <w:pStyle w:val="text"/>
        <w:rPr/>
      </w:pPr>
      <w:r>
        <w:rPr/>
        <w:t>Почтовый адрес: 236022, ОБЛАСТЬ КАЛИНИНГРАДСКАЯ,ГОРОД КАЛИНИНГРАД,УЛИЦА ТЕАТРАЛЬНАЯ, дом ДОМ 34.</w:t>
      </w:r>
    </w:p>
    <w:p>
      <w:pPr>
        <w:pStyle w:val="variable"/>
        <w:rPr/>
      </w:pPr>
      <w:r>
        <w:rPr/>
        <w:t>Контактная информация:</w:t>
      </w:r>
      <w:r>
        <w:rPr>
          <w:b w:val="false"/>
        </w:rPr>
        <w:t xml:space="preserve"> Дятлова Ю. Ю., тел.: +7 (4012) 57-62-34, e-mail: Dyatlova-YY@Rosseti-Yantar.Ru</w:t>
      </w:r>
    </w:p>
    <w:p>
      <w:pPr>
        <w:pStyle w:val="variable"/>
        <w:rPr/>
      </w:pPr>
      <w:r>
        <w:rPr/>
        <w:t>Сведения об операторе электронной площадки:</w:t>
      </w:r>
      <w:r>
        <w:rPr>
          <w:b w:val="false"/>
        </w:rPr>
        <w:t xml:space="preserve"> Акционерное общество «Российский аукционный дом» (ИНН: 7838430413, КПП: 783801001, ОГРН: 1097847233351).</w:t>
      </w:r>
    </w:p>
    <w:p>
      <w:pPr>
        <w:pStyle w:val="text"/>
        <w:rPr/>
      </w:pPr>
      <w:r>
        <w:rPr/>
        <w:t>Место нахождения: РФ, 190000, г. Санкт-Петербург, переулок Гривцова, дом 5, литера B.</w:t>
      </w:r>
    </w:p>
    <w:p>
      <w:pPr>
        <w:pStyle w:val="text"/>
        <w:rPr/>
      </w:pPr>
      <w:r>
        <w:rPr/>
        <w:t>Почтовый адрес: РФ, 190000, г. Санкт-Петербург, переулок Гривцова, дом 5, литера B.</w:t>
      </w:r>
    </w:p>
    <w:p>
      <w:pPr>
        <w:pStyle w:val="text"/>
        <w:rPr/>
      </w:pPr>
      <w:r>
        <w:rPr/>
        <w:t>Техническая поддержка: тел.: 8 800 777 57 57, эл. почта: 223s@lot-online.ru</w:t>
      </w:r>
    </w:p>
    <w:p>
      <w:pPr>
        <w:pStyle w:val="variable"/>
        <w:rPr/>
      </w:pPr>
      <w:r>
        <w:rPr/>
        <w:t>Наименование закупки:</w:t>
      </w:r>
      <w:r>
        <w:rPr>
          <w:b w:val="false"/>
        </w:rPr>
        <w:t xml:space="preserve"> Поставка выключателей нагрузки и разъединителей</w:t>
      </w:r>
    </w:p>
    <w:p>
      <w:pPr>
        <w:pStyle w:val="variable"/>
        <w:rPr/>
      </w:pPr>
      <w:r>
        <w:rPr/>
        <w:t>Предмет договора (лота):</w:t>
      </w:r>
      <w:r>
        <w:rPr>
          <w:b w:val="false"/>
        </w:rPr>
        <w:t xml:space="preserve"> Поставка выключателей нагрузки и разъединителей.</w:t>
      </w:r>
    </w:p>
    <w:p>
      <w:pPr>
        <w:pStyle w:val="Normal"/>
        <w:rPr>
          <w:b/>
        </w:rPr>
      </w:pPr>
      <w:r>
        <w:rPr>
          <w:b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05"/>
        <w:gridCol w:w="2515"/>
        <w:gridCol w:w="1488"/>
        <w:gridCol w:w="2594"/>
        <w:gridCol w:w="2636"/>
      </w:tblGrid>
      <w:tr>
        <w:trPr/>
        <w:tc>
          <w:tcPr>
            <w:tcW w:w="405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51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4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259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63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0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251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Части электрической распределительной или регулирующей аппаратуры</w:t>
            </w:r>
          </w:p>
        </w:tc>
        <w:tc>
          <w:tcPr>
            <w:tcW w:w="148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 (Условная единица)</w:t>
            </w:r>
          </w:p>
        </w:tc>
        <w:tc>
          <w:tcPr>
            <w:tcW w:w="259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27.12.40: Части электрической распределительной или регулирующей аппаратуры</w:t>
            </w:r>
          </w:p>
        </w:tc>
        <w:tc>
          <w:tcPr>
            <w:tcW w:w="263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27.12: Производство электрической распределительной и регулирующей аппаратуры</w:t>
            </w:r>
          </w:p>
        </w:tc>
      </w:tr>
    </w:tbl>
    <w:p>
      <w:pPr>
        <w:pStyle w:val="text"/>
        <w:rPr/>
      </w:pPr>
      <w:r>
        <w:rPr/>
      </w:r>
    </w:p>
    <w:p>
      <w:pPr>
        <w:pStyle w:val="variable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</w:rPr>
        <w:t xml:space="preserve"> Части электрической распределительной или регулирующей аппаратуры: 1 Условная единица.</w:t>
      </w:r>
    </w:p>
    <w:p>
      <w:pPr>
        <w:pStyle w:val="variable"/>
        <w:rPr/>
      </w:pPr>
      <w:r>
        <w:rPr/>
        <w:t>Начальная (максимальная) цена договора (лота):</w:t>
      </w:r>
      <w:r>
        <w:rPr>
          <w:b w:val="false"/>
        </w:rPr>
        <w:t xml:space="preserve"> 3 389 145,60 руб.</w:t>
      </w:r>
    </w:p>
    <w:p>
      <w:pPr>
        <w:pStyle w:val="variable"/>
        <w:rPr/>
      </w:pPr>
      <w:r>
        <w:rPr/>
        <w:t>Начальная (максимальная) цена договора (лота) без НДС:</w:t>
      </w:r>
      <w:r>
        <w:rPr>
          <w:b w:val="false"/>
        </w:rPr>
        <w:t xml:space="preserve"> 2 824 288,00 руб.</w:t>
      </w:r>
    </w:p>
    <w:p>
      <w:pPr>
        <w:pStyle w:val="variable"/>
        <w:rPr/>
      </w:pPr>
      <w:r>
        <w:rPr/>
        <w:t>Сумма НДС:</w:t>
      </w:r>
      <w:r>
        <w:rPr>
          <w:b w:val="false"/>
        </w:rPr>
        <w:t xml:space="preserve"> 564 857,60 руб.</w:t>
      </w:r>
    </w:p>
    <w:p>
      <w:pPr>
        <w:pStyle w:val="variable"/>
        <w:rPr/>
      </w:pPr>
      <w:r>
        <w:rPr/>
        <w:t>Срок предоставления документации о закупке:</w:t>
      </w:r>
      <w:r>
        <w:rPr>
          <w:b w:val="false"/>
        </w:rPr>
        <w:t xml:space="preserve"> с 16 декабря 2024 года по 24 декабря 2024 года.</w:t>
      </w:r>
    </w:p>
    <w:p>
      <w:pPr>
        <w:pStyle w:val="variable"/>
        <w:rPr/>
      </w:pPr>
      <w:r>
        <w:rPr/>
        <w:t>Место предоставления документации о закупке:</w:t>
      </w:r>
      <w:r>
        <w:rPr>
          <w:b w:val="false"/>
        </w:rPr>
        <w:t xml:space="preserve"> АКЦИОНЕРНОЕ ОБЩЕСТВО «РОССИЙСКИЙ АУКЦИОННЫЙ ДОМ» (https://lot-online.ru).</w:t>
      </w:r>
    </w:p>
    <w:p>
      <w:pPr>
        <w:pStyle w:val="variable"/>
        <w:rPr/>
      </w:pPr>
      <w:r>
        <w:rPr/>
        <w:t>Порядок предоставления документации о закупке:</w:t>
      </w:r>
      <w:r>
        <w:rPr>
          <w:b w:val="false"/>
        </w:rPr>
        <w:t xml:space="preserve"> В электронной форме.</w:t>
      </w:r>
    </w:p>
    <w:p>
      <w:pPr>
        <w:pStyle w:val="variable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</w:rPr>
        <w:t xml:space="preserve"> https://tender.lot-online.ru, http://zakupki.gov.ru.</w:t>
      </w:r>
    </w:p>
    <w:p>
      <w:pPr>
        <w:pStyle w:val="variable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</w:rPr>
        <w:t xml:space="preserve"> плата не установлена.</w:t>
      </w:r>
    </w:p>
    <w:p>
      <w:pPr>
        <w:pStyle w:val="variable"/>
        <w:rPr/>
      </w:pPr>
      <w:r>
        <w:rPr/>
        <w:t>Место подачи заявок:</w:t>
      </w:r>
      <w:r>
        <w:rPr>
          <w:b w:val="false"/>
        </w:rPr>
        <w:t xml:space="preserve"> АКЦИОНЕРНОЕ ОБЩЕСТВО «РОССИЙСКИЙ АУКЦИОННЫЙ ДОМ» (https://lot-online.ru).</w:t>
      </w:r>
    </w:p>
    <w:p>
      <w:pPr>
        <w:pStyle w:val="variable"/>
        <w:rPr/>
      </w:pPr>
      <w:r>
        <w:rPr/>
        <w:t>Дата и время начала подачи заявок:</w:t>
      </w:r>
      <w:r>
        <w:rPr>
          <w:b w:val="false"/>
        </w:rPr>
        <w:t xml:space="preserve"> 15 декабря 2024 года в 23:00 MCK-1.</w:t>
      </w:r>
    </w:p>
    <w:p>
      <w:pPr>
        <w:pStyle w:val="variable"/>
        <w:rPr/>
      </w:pPr>
      <w:r>
        <w:rPr/>
        <w:t>Дата и время окончания подачи заявок:</w:t>
      </w:r>
      <w:r>
        <w:rPr>
          <w:b w:val="false"/>
        </w:rPr>
        <w:t xml:space="preserve"> 24 декабря 2024 года в 14:00 MCK-1.</w:t>
      </w:r>
    </w:p>
    <w:p>
      <w:pPr>
        <w:pStyle w:val="variable"/>
        <w:rPr/>
      </w:pPr>
      <w:r>
        <w:rPr/>
        <w:t>Место и дата рассмотрения заявок:</w:t>
      </w:r>
      <w:r>
        <w:rPr>
          <w:b w:val="false"/>
        </w:rPr>
        <w:t xml:space="preserve"> АКЦИОНЕРНОЕ ОБЩЕСТВО «РОССИЙСКИЙ АУКЦИОННЫЙ ДОМ» (https://lot-online.ru), 03 марта 2025 года.</w:t>
      </w:r>
    </w:p>
    <w:p>
      <w:pPr>
        <w:pStyle w:val="variable"/>
        <w:rPr/>
      </w:pPr>
      <w:r>
        <w:rPr/>
        <w:t>Место и дата подведения итогов закупки:</w:t>
      </w:r>
      <w:r>
        <w:rPr>
          <w:b w:val="false"/>
        </w:rPr>
        <w:t xml:space="preserve"> АКЦИОНЕРНОЕ ОБЩЕСТВО «РОССИЙСКИЙ АУКЦИОННЫЙ ДОМ» (https://lot-online.ru), 06 марта 2025 года.</w:t>
      </w:r>
    </w:p>
    <w:p>
      <w:pPr>
        <w:pStyle w:val="text"/>
        <w:rPr/>
      </w:pPr>
      <w:r>
        <w:rPr/>
      </w:r>
    </w:p>
    <w:p>
      <w:pPr>
        <w:pStyle w:val="centered"/>
        <w:rPr>
          <w:b/>
        </w:rPr>
      </w:pPr>
      <w:r>
        <w:rPr>
          <w:b/>
        </w:rPr>
        <w:t>II. Сведения о результатах рассмотрения заявок</w:t>
      </w:r>
    </w:p>
    <w:p>
      <w:pPr>
        <w:pStyle w:val="Normal"/>
        <w:rPr/>
      </w:pPr>
      <w:r>
        <w:rPr>
          <w:b/>
        </w:rPr>
        <w:br/>
        <w:t xml:space="preserve">Количество поданных на участие в закупке заявок: </w:t>
      </w:r>
      <w:r>
        <w:rPr/>
        <w:t>2.</w:t>
        <w:br/>
      </w:r>
      <w:r>
        <w:rPr>
          <w:b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59"/>
        <w:gridCol w:w="3884"/>
        <w:gridCol w:w="1895"/>
      </w:tblGrid>
      <w:tr>
        <w:trPr/>
        <w:tc>
          <w:tcPr>
            <w:tcW w:w="385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8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Наименование участника закупки</w:t>
            </w:r>
          </w:p>
        </w:tc>
        <w:tc>
          <w:tcPr>
            <w:tcW w:w="189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5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24.12.2024 11:19:47 MCK-1</w:t>
            </w:r>
          </w:p>
        </w:tc>
        <w:tc>
          <w:tcPr>
            <w:tcW w:w="388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№343392</w:t>
            </w:r>
          </w:p>
        </w:tc>
        <w:tc>
          <w:tcPr>
            <w:tcW w:w="18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385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24.12.2024 12:56:30 MCK-1</w:t>
            </w:r>
          </w:p>
        </w:tc>
        <w:tc>
          <w:tcPr>
            <w:tcW w:w="388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№343476</w:t>
            </w:r>
          </w:p>
        </w:tc>
        <w:tc>
          <w:tcPr>
            <w:tcW w:w="189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85"/>
        <w:gridCol w:w="3153"/>
      </w:tblGrid>
      <w:tr>
        <w:trPr/>
        <w:tc>
          <w:tcPr>
            <w:tcW w:w="6485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Наименование участника закупки</w:t>
            </w:r>
          </w:p>
        </w:tc>
        <w:tc>
          <w:tcPr>
            <w:tcW w:w="315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8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№343476</w:t>
            </w:r>
          </w:p>
        </w:tc>
        <w:tc>
          <w:tcPr>
            <w:tcW w:w="315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text"/>
        <w:rPr/>
      </w:pPr>
      <w:r>
        <w:rPr/>
      </w:r>
    </w:p>
    <w:p>
      <w:pPr>
        <w:pStyle w:val="Normal"/>
        <w:rPr/>
      </w:pPr>
      <w:r>
        <w:rPr>
          <w:b/>
        </w:rPr>
        <w:br/>
        <w:t xml:space="preserve">Количество заявок на участие в закупке, которые отклонены: </w:t>
      </w:r>
      <w:r>
        <w:rPr/>
        <w:t>1.</w:t>
        <w:br/>
      </w:r>
      <w:r>
        <w:rPr>
          <w:b/>
        </w:rPr>
        <w:t xml:space="preserve">Сведения об участниках, которым отказано в допуске к участию в закупке с указанием причин отклонения: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35"/>
        <w:gridCol w:w="1270"/>
        <w:gridCol w:w="6433"/>
      </w:tblGrid>
      <w:tr>
        <w:trPr/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Наименование участника закупки</w:t>
            </w:r>
          </w:p>
        </w:tc>
        <w:tc>
          <w:tcPr>
            <w:tcW w:w="127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  <w:tc>
          <w:tcPr>
            <w:tcW w:w="643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Причина отклонения</w:t>
            </w:r>
          </w:p>
        </w:tc>
      </w:tr>
      <w:tr>
        <w:trPr/>
        <w:tc>
          <w:tcPr>
            <w:tcW w:w="193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№343392</w:t>
            </w:r>
          </w:p>
        </w:tc>
        <w:tc>
          <w:tcPr>
            <w:tcW w:w="127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  <w:tc>
          <w:tcPr>
            <w:tcW w:w="643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Отсутствуют документы, предусмотренные п.17 п.3 части 2 «Информационная карты закупки» Документы, подтверждающие полномочия лица, подписавшего Заявку. Заявка подписана Муравьевым А.В., доверенность выдана Гудкову А.В.</w:t>
            </w:r>
          </w:p>
          <w:p>
            <w:pPr>
              <w:pStyle w:val="TableContents"/>
              <w:rPr/>
            </w:pPr>
            <w:r>
              <w:rPr/>
              <w:t xml:space="preserve"> </w:t>
            </w:r>
            <w:r>
              <w:rPr/>
              <w:t>Отклонить заявку на основании п. 5.4.2. а) Закупочной документации.</w:t>
            </w:r>
          </w:p>
        </w:tc>
      </w:tr>
    </w:tbl>
    <w:p>
      <w:pPr>
        <w:pStyle w:val="text"/>
        <w:rPr/>
      </w:pPr>
      <w:r>
        <w:rPr/>
      </w:r>
    </w:p>
    <w:p>
      <w:pPr>
        <w:pStyle w:val="text"/>
        <w:rPr/>
      </w:pPr>
      <w:r>
        <w:rPr/>
      </w:r>
    </w:p>
    <w:p>
      <w:pPr>
        <w:pStyle w:val="centered"/>
        <w:rPr>
          <w:b/>
        </w:rPr>
      </w:pPr>
      <w:r>
        <w:rPr>
          <w:b/>
        </w:rPr>
        <w:t>III. Решение Закупочной комиссии:</w:t>
      </w:r>
    </w:p>
    <w:p>
      <w:pPr>
        <w:pStyle w:val="text"/>
        <w:rPr/>
      </w:pPr>
      <w:r>
        <w:rPr/>
        <w:t>Признать заявку участника № 343476 соответствующим требованиям документации на проведение закупки.</w:t>
      </w:r>
    </w:p>
    <w:p>
      <w:pPr>
        <w:pStyle w:val="text"/>
        <w:rPr/>
      </w:pPr>
      <w:r>
        <w:rPr/>
        <w:t>•</w:t>
      </w:r>
      <w:r>
        <w:rPr/>
        <w:tab/>
        <w:t xml:space="preserve">Провести процедуру переторжки, допустить к участию в переторжке участника № 343476. </w:t>
      </w:r>
    </w:p>
    <w:p>
      <w:pPr>
        <w:pStyle w:val="text"/>
        <w:rPr/>
      </w:pPr>
      <w:r>
        <w:rPr/>
        <w:t>Дата начала проведения этапа переторжки: с момента публикации на ЭТП настоящего протокола.</w:t>
      </w:r>
    </w:p>
    <w:p>
      <w:pPr>
        <w:pStyle w:val="text"/>
        <w:rPr/>
      </w:pPr>
      <w:r>
        <w:rPr/>
        <w:t>•</w:t>
      </w:r>
      <w:r>
        <w:rPr/>
        <w:tab/>
        <w:t>Срок проведения переторжки: не менее 24 (двадцати четырех) часов.</w:t>
      </w:r>
    </w:p>
    <w:p>
      <w:pPr>
        <w:pStyle w:val="text"/>
        <w:rPr/>
      </w:pPr>
      <w:r>
        <w:rPr/>
        <w:t>•</w:t>
      </w:r>
      <w:r>
        <w:rPr/>
        <w:tab/>
        <w:t xml:space="preserve">Переторжка проводится в соответствии с положениями и регламентами работы электронной торговой площадки (ЭТП) </w:t>
      </w:r>
      <w:hyperlink r:id="rId2">
        <w:r>
          <w:rPr>
            <w:rStyle w:val="Hyperlink"/>
          </w:rPr>
          <w:t>https://tender.lot-online.ru</w:t>
        </w:r>
      </w:hyperlink>
    </w:p>
    <w:p>
      <w:pPr>
        <w:pStyle w:val="text"/>
        <w:rPr>
          <w:b/>
        </w:rPr>
      </w:pPr>
      <w:r>
        <w:rPr>
          <w:b/>
        </w:rPr>
        <w:t>В соответствии с п. 13 таблицы 1 части II «ИНФОРМАЦИОННАЯ КАРТА ЗАКУПКИ» предлагается продлить срок проведения закупки:</w:t>
      </w:r>
    </w:p>
    <w:p>
      <w:pPr>
        <w:pStyle w:val="text"/>
        <w:rPr/>
      </w:pPr>
      <w:r>
        <w:rPr>
          <w:b/>
        </w:rPr>
        <w:t>Сведения об объявлении проведения следующего этапа закупки:</w:t>
      </w:r>
      <w:r>
        <w:rPr/>
        <w:t xml:space="preserve"> не завершать закупку и объявить следующий этап (</w:t>
      </w:r>
      <w:r>
        <w:rPr>
          <w:b/>
        </w:rPr>
        <w:t>переторжка</w:t>
      </w:r>
      <w:r>
        <w:rPr/>
        <w:t>) с проведением торгов (в режиме реального времени).</w:t>
      </w:r>
    </w:p>
    <w:p>
      <w:pPr>
        <w:pStyle w:val="variable"/>
        <w:rPr/>
      </w:pPr>
      <w:r>
        <w:rPr/>
        <w:t>Дата и время начала торгов по предоставлению улучшенных предложений:</w:t>
      </w:r>
      <w:r>
        <w:rPr>
          <w:b w:val="false"/>
        </w:rPr>
        <w:t xml:space="preserve"> 3 марта 2025 года в 15:30 MCK-1.</w:t>
      </w:r>
    </w:p>
    <w:p>
      <w:pPr>
        <w:pStyle w:val="variable"/>
        <w:rPr/>
      </w:pPr>
      <w:r>
        <w:rPr/>
        <w:t>Дата и время окончания торгов по предоставлению улучшенных предложений:</w:t>
      </w:r>
      <w:r>
        <w:rPr>
          <w:b w:val="false"/>
        </w:rPr>
        <w:t xml:space="preserve"> 4 марта 2025 года в 15:30 MCK-1.</w:t>
      </w:r>
    </w:p>
    <w:p>
      <w:pPr>
        <w:pStyle w:val="variable"/>
        <w:rPr/>
      </w:pPr>
      <w:r>
        <w:rPr>
          <w:b w:val="false"/>
        </w:rPr>
        <w:t>Дата и время подведения итогов:</w:t>
      </w:r>
      <w:r>
        <w:rPr/>
        <w:t xml:space="preserve"> 6 марта 2025 года в 17:00 MCK-1.</w:t>
      </w:r>
    </w:p>
    <w:tbl>
      <w:tblPr>
        <w:tblW w:w="107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778"/>
        <w:gridCol w:w="4962"/>
      </w:tblGrid>
      <w:tr>
        <w:trPr/>
        <w:tc>
          <w:tcPr>
            <w:tcW w:w="5778" w:type="dxa"/>
            <w:tcBorders/>
          </w:tcPr>
          <w:p>
            <w:pPr>
              <w:pStyle w:val="text"/>
              <w:snapToGrid w:val="false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  <w:t>Решение принято:</w:t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  <w:t>Ответственный секретарь Закупочной комиссии (без права голоса)</w:t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  <w:t>Исп. Огиенко Э.В. 57-63-41</w:t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4962" w:type="dxa"/>
            <w:tcBorders/>
          </w:tcPr>
          <w:p>
            <w:pPr>
              <w:pStyle w:val="text"/>
              <w:snapToGrid w:val="false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  <w:t>____________________ Поршина А.Ф.</w:t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text"/>
              <w:rPr>
                <w:bCs/>
              </w:rPr>
            </w:pPr>
            <w:r>
              <w:rPr>
                <w:bCs/>
              </w:rPr>
            </w:r>
          </w:p>
        </w:tc>
      </w:tr>
    </w:tbl>
    <w:p>
      <w:pPr>
        <w:pStyle w:val="tex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Segoe UI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isplayBackgroundShape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bidi="ru-RU" w:eastAsia="zh-C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Style11">
    <w:name w:val="Основной шрифт абзаца"/>
    <w:qFormat/>
    <w:rPr/>
  </w:style>
  <w:style w:type="character" w:styleId="NumberingSymbols">
    <w:name w:val="Numbering Symbols"/>
    <w:qFormat/>
    <w:rPr/>
  </w:style>
  <w:style w:type="character" w:styleId="Hyperlink">
    <w:name w:val="Hyperlink"/>
    <w:rPr>
      <w:color w:val="0563C1"/>
      <w:u w:val="single"/>
    </w:rPr>
  </w:style>
  <w:style w:type="character" w:styleId="Style12">
    <w:name w:val="Текст выноски Знак"/>
    <w:qFormat/>
    <w:rPr>
      <w:rFonts w:ascii="Segoe UI" w:hAnsi="Segoe UI" w:eastAsia="Lucida Sans Unicode" w:cs="Segoe UI"/>
      <w:kern w:val="2"/>
      <w:sz w:val="18"/>
      <w:szCs w:val="18"/>
      <w:lang w:bidi="ru-RU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Style13">
    <w:name w:val="Красная строка"/>
    <w:basedOn w:val="BodyText"/>
    <w:qFormat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S Gothic;ＭＳ ゴシック" w:cs="Tahoma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Style14">
    <w:name w:val="Название объекта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bidi="ru-RU" w:eastAsia="zh-CN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Style14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pagebreaker">
    <w:name w:val="pagebreaker"/>
    <w:basedOn w:val="text"/>
    <w:next w:val="text"/>
    <w:qFormat/>
    <w:pPr>
      <w:keepNext w:val="true"/>
      <w:widowControl/>
    </w:pPr>
    <w:rPr/>
  </w:style>
  <w:style w:type="paragraph" w:styleId="captionFirstLine">
    <w:name w:val="captionFirstLine"/>
    <w:basedOn w:val="text"/>
    <w:next w:val="text"/>
    <w:qFormat/>
    <w:pPr>
      <w:keepNext w:val="false"/>
      <w:keepLines w:val="false"/>
      <w:pageBreakBefore/>
      <w:widowControl w:val="false"/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Style15">
    <w:name w:val="Текст выноски"/>
    <w:basedOn w:val="Normal"/>
    <w:qFormat/>
    <w:pPr/>
    <w:rPr>
      <w:rFonts w:ascii="Segoe UI" w:hAnsi="Segoe UI" w:cs="Segoe UI"/>
      <w:sz w:val="18"/>
      <w:szCs w:val="18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tender.lot-online.ru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2025-03-03T13:19:00Z</dcterms:created>
  <dc:creator>Огиенко Элеонора Вячеславовна</dc:creator>
  <dc:description/>
  <cp:keywords/>
  <dc:language>en-US</dc:language>
  <cp:lastModifiedBy>Огиенко Элеонора Вячеславовна</cp:lastModifiedBy>
  <cp:lastPrinted>2025-03-03T14:52:00Z</cp:lastPrinted>
  <dcterms:modified xsi:type="dcterms:W3CDTF">2025-03-03T13:19:00Z</dcterms:modified>
  <cp:revision>2</cp:revision>
  <dc:subject/>
  <dc:title/>
</cp:coreProperties>
</file>