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54"/>
        <w:jc w:val="center"/>
        <w:tabs>
          <w:tab w:val="left" w:pos="986" w:leader="none"/>
          <w:tab w:val="center" w:pos="5197" w:leader="none"/>
        </w:tabs>
        <w:rPr>
          <w:b/>
        </w:rPr>
        <w:outlineLvl w:val="0"/>
      </w:pPr>
      <w:r>
        <w:rPr>
          <w:b/>
          <w:bCs/>
        </w:rPr>
        <w:t xml:space="preserve">ПРОТОКОЛ № 1</w:t>
      </w:r>
      <w:r>
        <w:rPr>
          <w:b/>
          <w:bCs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white"/>
          <w:shd w:val="clear" w:color="ffffff" w:themeColor="background1" w:fill="ffffff" w:themeFill="background1"/>
        </w:rPr>
        <w:t xml:space="preserve">3707192</w:t>
      </w:r>
      <w:r>
        <w:rPr>
          <w:b/>
        </w:rPr>
      </w:r>
      <w:r>
        <w:rPr>
          <w:b/>
        </w:rPr>
      </w:r>
    </w:p>
    <w:p>
      <w:pPr>
        <w:pStyle w:val="1154"/>
        <w:jc w:val="center"/>
        <w:tabs>
          <w:tab w:val="left" w:pos="986" w:leader="none"/>
          <w:tab w:val="center" w:pos="5197" w:leader="none"/>
        </w:tabs>
        <w:rPr>
          <w:b/>
          <w:iCs/>
        </w:rPr>
        <w:outlineLvl w:val="0"/>
      </w:pPr>
      <w:r>
        <w:rPr>
          <w:b/>
          <w:bCs/>
        </w:rPr>
        <w:t xml:space="preserve">з</w:t>
      </w:r>
      <w:r>
        <w:rPr>
          <w:b/>
          <w:bCs/>
        </w:rPr>
        <w:t xml:space="preserve">аочного заседания Закупочной комиссии </w:t>
      </w:r>
      <w:r>
        <w:rPr>
          <w:b/>
          <w:bCs/>
        </w:rPr>
        <w:t xml:space="preserve">по рассмотрению заявок участников </w:t>
      </w:r>
      <w:r>
        <w:rPr>
          <w:b/>
        </w:rPr>
        <w:t xml:space="preserve">запроса </w:t>
      </w:r>
      <w:r>
        <w:rPr>
          <w:b/>
        </w:rPr>
        <w:t xml:space="preserve">котировок</w:t>
      </w:r>
      <w:r>
        <w:rPr>
          <w:b/>
        </w:rPr>
        <w:t xml:space="preserve"> в электронной форме</w:t>
      </w:r>
      <w:r>
        <w:rPr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на право заключения договора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на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поставку компрессорного масла для нужд филиала ПАО «Россети» - Самарское ПМЭС</w:t>
      </w:r>
      <w:r>
        <w:rPr>
          <w:b/>
          <w:iCs/>
        </w:rPr>
      </w:r>
      <w:r>
        <w:rPr>
          <w:b/>
          <w:iCs/>
        </w:rPr>
      </w:r>
    </w:p>
    <w:tbl>
      <w:tblPr>
        <w:tblW w:w="10547" w:type="dxa"/>
        <w:tblInd w:w="51" w:type="dxa"/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036"/>
        <w:gridCol w:w="5511"/>
      </w:tblGrid>
      <w:tr>
        <w:tblPrEx/>
        <w:trPr>
          <w:trHeight w:val="331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036" w:type="dxa"/>
            <w:vAlign w:val="top"/>
            <w:textDirection w:val="lrTb"/>
            <w:noWrap w:val="false"/>
          </w:tcPr>
          <w:p>
            <w:pPr>
              <w:pStyle w:val="1155"/>
              <w:ind w:firstLine="180"/>
              <w:spacing w:line="276" w:lineRule="auto"/>
              <w:rPr>
                <w:sz w:val="24"/>
              </w:rPr>
            </w:pPr>
            <w:r>
              <w:rPr>
                <w:sz w:val="24"/>
              </w:rPr>
              <w:t xml:space="preserve">г. </w:t>
            </w:r>
            <w:r>
              <w:rPr>
                <w:sz w:val="24"/>
              </w:rPr>
              <w:t xml:space="preserve">Самара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511" w:type="dxa"/>
            <w:vAlign w:val="top"/>
            <w:textDirection w:val="lrTb"/>
            <w:noWrap w:val="false"/>
          </w:tcPr>
          <w:p>
            <w:pPr>
              <w:pStyle w:val="1154"/>
              <w:ind w:right="63" w:firstLine="180"/>
              <w:jc w:val="right"/>
              <w:spacing w:line="276" w:lineRule="auto"/>
            </w:pPr>
            <w:r>
              <w:t xml:space="preserve">15.</w:t>
            </w:r>
            <w:r>
              <w:t xml:space="preserve">12</w:t>
            </w:r>
            <w:r>
              <w:t xml:space="preserve">.20</w:t>
            </w:r>
            <w:r>
              <w:t xml:space="preserve">2</w:t>
            </w:r>
            <w:r>
              <w:t xml:space="preserve">5</w:t>
            </w:r>
            <w:r/>
          </w:p>
        </w:tc>
      </w:tr>
    </w:tbl>
    <w:p>
      <w:pPr>
        <w:pStyle w:val="1168"/>
        <w:ind w:left="0"/>
        <w:spacing w:line="276" w:lineRule="auto"/>
        <w:tabs>
          <w:tab w:val="left" w:pos="570" w:leader="none"/>
        </w:tabs>
        <w:rPr>
          <w:b/>
          <w:szCs w:val="24"/>
          <w:lang w:val="ru-RU"/>
        </w:rPr>
      </w:pPr>
      <w:r>
        <w:rPr>
          <w:b/>
          <w:szCs w:val="24"/>
          <w:lang w:val="ru-RU"/>
        </w:rPr>
      </w:r>
      <w:r>
        <w:rPr>
          <w:b/>
          <w:szCs w:val="24"/>
          <w:lang w:val="ru-RU"/>
        </w:rPr>
      </w:r>
      <w:r>
        <w:rPr>
          <w:b/>
          <w:szCs w:val="24"/>
          <w:lang w:val="ru-RU"/>
        </w:rPr>
      </w:r>
    </w:p>
    <w:p>
      <w:pPr>
        <w:pStyle w:val="1168"/>
        <w:numPr>
          <w:ilvl w:val="0"/>
          <w:numId w:val="1"/>
        </w:numPr>
        <w:ind w:left="0" w:firstLine="426"/>
        <w:spacing w:line="276" w:lineRule="auto"/>
        <w:tabs>
          <w:tab w:val="left" w:pos="570" w:leader="none"/>
          <w:tab w:val="num" w:pos="627" w:leader="none"/>
          <w:tab w:val="clear" w:pos="1080" w:leader="none"/>
        </w:tabs>
        <w:rPr>
          <w:b/>
          <w:szCs w:val="24"/>
        </w:rPr>
      </w:pPr>
      <w:r>
        <w:rPr>
          <w:b/>
          <w:szCs w:val="24"/>
          <w:lang w:val="ru-RU"/>
        </w:rPr>
        <w:t xml:space="preserve">Повестка дня:</w:t>
      </w:r>
      <w:r>
        <w:rPr>
          <w:b/>
          <w:szCs w:val="24"/>
        </w:rPr>
      </w:r>
      <w:r>
        <w:rPr>
          <w:b/>
          <w:szCs w:val="24"/>
        </w:rPr>
      </w:r>
    </w:p>
    <w:p>
      <w:pPr>
        <w:pStyle w:val="1154"/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О признании соответствующей требованиям извещения о закупке (одновременно является документацией) и принятии к дальнейшему рассмотрению заявки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ООО «Волга-Энерджи»</w:t>
      </w:r>
      <w:r>
        <w:rPr>
          <w:b/>
          <w:color w:val="000000"/>
          <w:sz w:val="24"/>
          <w:szCs w:val="24"/>
        </w:rPr>
        <w:t xml:space="preserve">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  <w:bCs/>
          <w:sz w:val="24"/>
          <w:szCs w:val="24"/>
        </w:rPr>
      </w:pPr>
      <w:r>
        <w:rPr>
          <w:b/>
          <w:sz w:val="24"/>
          <w:szCs w:val="24"/>
          <w:highlight w:val="none"/>
        </w:rPr>
      </w:r>
      <w:r>
        <w:rPr>
          <w:sz w:val="24"/>
          <w:szCs w:val="24"/>
        </w:rPr>
        <w:t xml:space="preserve">О признании соответствующей требованиям извещения о закупке (одновременно является документацией) и принятии к дальнейшему рассмотрению заявки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ООО «СВ-ЛОГИСТИК»</w:t>
      </w:r>
      <w:r>
        <w:rPr>
          <w:b/>
          <w:color w:val="000000"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  <w:bCs/>
          <w:sz w:val="24"/>
          <w:szCs w:val="24"/>
        </w:rPr>
      </w:pPr>
      <w:r>
        <w:rPr>
          <w:b/>
          <w:sz w:val="24"/>
          <w:szCs w:val="24"/>
          <w:highlight w:val="none"/>
        </w:rPr>
      </w:r>
      <w:r>
        <w:rPr>
          <w:sz w:val="24"/>
          <w:szCs w:val="24"/>
        </w:rPr>
        <w:t xml:space="preserve">О признании не соответствующей требованиям извещения о закупке (одновременно является документацией) и отклонении от дальнейшего рассмотрения заявки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ООО «КОМТЕХ»</w:t>
      </w:r>
      <w:r>
        <w:rPr>
          <w:b/>
          <w:color w:val="000000"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  <w:bCs/>
          <w:sz w:val="24"/>
          <w:szCs w:val="24"/>
        </w:rPr>
      </w:pPr>
      <w:r>
        <w:rPr>
          <w:b/>
          <w:sz w:val="24"/>
          <w:szCs w:val="24"/>
          <w:highlight w:val="none"/>
        </w:rPr>
      </w:r>
      <w:r>
        <w:rPr>
          <w:sz w:val="24"/>
          <w:szCs w:val="24"/>
        </w:rPr>
        <w:t xml:space="preserve">О признании не соответствующей требованиям извещения о закупке (одновременно является документацией) и отклонении от дальнейшего рассмотрения заявки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ООО «РЕМиКС»</w:t>
      </w:r>
      <w:r>
        <w:rPr>
          <w:b/>
          <w:color w:val="000000"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  <w:bCs/>
          <w:sz w:val="24"/>
          <w:szCs w:val="24"/>
        </w:rPr>
      </w:pPr>
      <w:r>
        <w:rPr>
          <w:b/>
          <w:sz w:val="24"/>
          <w:szCs w:val="24"/>
          <w:highlight w:val="none"/>
        </w:rPr>
      </w:r>
      <w:r>
        <w:rPr>
          <w:sz w:val="24"/>
          <w:szCs w:val="24"/>
        </w:rPr>
        <w:t xml:space="preserve">О признании не соответствующей требованиям извещения о закупке (одновременно является документацией) и отклонении от дальнейшего рассмотрения заявки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ООО «СПЕЦ-СМАЗ ГРУПП»</w:t>
      </w:r>
      <w:r>
        <w:rPr>
          <w:b/>
          <w:color w:val="000000"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  <w:bCs/>
          <w:sz w:val="24"/>
          <w:szCs w:val="24"/>
        </w:rPr>
      </w:pPr>
      <w:r>
        <w:rPr>
          <w:b/>
          <w:sz w:val="24"/>
          <w:szCs w:val="24"/>
          <w:highlight w:val="none"/>
        </w:rPr>
      </w:r>
      <w:r>
        <w:rPr>
          <w:sz w:val="24"/>
          <w:szCs w:val="24"/>
        </w:rPr>
        <w:t xml:space="preserve">О признании соответствующей требованиям извещения о закупке (одновременно является документацией) и принятии к дальнейшему рассмотрению заявки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ООО «ГОЛДА»</w:t>
      </w:r>
      <w:r>
        <w:rPr>
          <w:b/>
          <w:color w:val="000000"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154"/>
        <w:numPr>
          <w:ilvl w:val="0"/>
          <w:numId w:val="3"/>
        </w:numPr>
        <w:ind w:right="-45"/>
        <w:jc w:val="both"/>
        <w:tabs>
          <w:tab w:val="left" w:pos="284" w:leader="none"/>
        </w:tabs>
        <w:rPr>
          <w:b/>
        </w:rPr>
      </w:pPr>
      <w:r>
        <w:rPr>
          <w:sz w:val="24"/>
          <w:szCs w:val="24"/>
        </w:rPr>
        <w:t xml:space="preserve">О проведении аукционной процедуры понижения цены (переторжка).</w:t>
      </w:r>
      <w:r>
        <w:rPr>
          <w:b/>
        </w:rPr>
      </w:r>
      <w:r>
        <w:rPr>
          <w:b/>
        </w:rPr>
      </w:r>
    </w:p>
    <w:p>
      <w:pPr>
        <w:pStyle w:val="1154"/>
        <w:ind w:right="-45"/>
        <w:jc w:val="both"/>
        <w:spacing w:line="276" w:lineRule="auto"/>
        <w:tabs>
          <w:tab w:val="left" w:pos="284" w:leader="none"/>
        </w:tabs>
      </w:pPr>
      <w:r>
        <w:t xml:space="preserve">.</w:t>
      </w:r>
      <w:r/>
    </w:p>
    <w:p>
      <w:pPr>
        <w:pStyle w:val="1168"/>
        <w:numPr>
          <w:ilvl w:val="0"/>
          <w:numId w:val="1"/>
        </w:numPr>
        <w:ind w:left="0" w:firstLine="426"/>
        <w:spacing w:line="276" w:lineRule="auto"/>
        <w:tabs>
          <w:tab w:val="left" w:pos="570" w:leader="none"/>
          <w:tab w:val="num" w:pos="627" w:leader="none"/>
          <w:tab w:val="clear" w:pos="1080" w:leader="none"/>
        </w:tabs>
        <w:rPr>
          <w:b/>
          <w:szCs w:val="24"/>
        </w:rPr>
      </w:pPr>
      <w:r>
        <w:rPr>
          <w:b/>
          <w:szCs w:val="24"/>
          <w:lang w:val="ru-RU"/>
        </w:rPr>
        <w:t xml:space="preserve">  </w:t>
      </w:r>
      <w:r>
        <w:rPr>
          <w:b/>
          <w:szCs w:val="24"/>
          <w:lang w:val="ru-RU"/>
        </w:rPr>
        <w:t xml:space="preserve">Общая информация о закупке</w:t>
      </w:r>
      <w:r>
        <w:rPr>
          <w:b/>
          <w:szCs w:val="24"/>
        </w:rPr>
        <w:t xml:space="preserve">.</w:t>
      </w:r>
      <w:r>
        <w:rPr>
          <w:b/>
          <w:szCs w:val="24"/>
        </w:rPr>
      </w:r>
      <w:r>
        <w:rPr>
          <w:b/>
          <w:szCs w:val="24"/>
        </w:rPr>
      </w:r>
    </w:p>
    <w:p>
      <w:pPr>
        <w:pStyle w:val="1168"/>
        <w:numPr>
          <w:ilvl w:val="0"/>
          <w:numId w:val="29"/>
        </w:numPr>
        <w:ind w:left="0" w:firstLine="426"/>
        <w:tabs>
          <w:tab w:val="left" w:pos="142" w:leader="none"/>
        </w:tabs>
        <w:rPr>
          <w:szCs w:val="24"/>
          <w:lang w:val="ru-RU"/>
        </w:rPr>
      </w:pPr>
      <w:r>
        <w:rPr>
          <w:szCs w:val="24"/>
        </w:rPr>
        <w:t xml:space="preserve">Основание проведения запроса </w:t>
      </w:r>
      <w:r>
        <w:rPr>
          <w:szCs w:val="24"/>
          <w:lang w:val="ru-RU"/>
        </w:rPr>
        <w:t xml:space="preserve">котировок</w:t>
      </w:r>
      <w:r>
        <w:rPr>
          <w:szCs w:val="24"/>
        </w:rPr>
        <w:t xml:space="preserve"> в электронной форме</w:t>
      </w:r>
      <w:r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:</w:t>
      </w:r>
      <w:r>
        <w:rPr>
          <w:szCs w:val="24"/>
          <w:lang w:val="ru-RU"/>
        </w:rPr>
      </w:r>
      <w:r>
        <w:rPr>
          <w:szCs w:val="24"/>
          <w:lang w:val="ru-RU"/>
        </w:rPr>
      </w:r>
    </w:p>
    <w:p>
      <w:pPr>
        <w:pStyle w:val="1167"/>
        <w:ind w:firstLine="284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  </w:t>
      </w:r>
      <w:r>
        <w:rPr>
          <w:sz w:val="24"/>
          <w:szCs w:val="24"/>
        </w:rPr>
        <w:t xml:space="preserve">Согласно Приказу филиала</w:t>
      </w:r>
      <w:r>
        <w:rPr>
          <w:sz w:val="24"/>
          <w:szCs w:val="24"/>
        </w:rPr>
        <w:t xml:space="preserve"> ПАО «</w:t>
      </w:r>
      <w:r>
        <w:rPr>
          <w:sz w:val="24"/>
          <w:szCs w:val="24"/>
          <w:lang w:val="ru-RU"/>
        </w:rPr>
        <w:t xml:space="preserve">Россети</w:t>
      </w:r>
      <w:r>
        <w:rPr>
          <w:sz w:val="24"/>
          <w:szCs w:val="24"/>
        </w:rPr>
        <w:t xml:space="preserve">» - МЭС Волги от </w:t>
      </w:r>
      <w:r>
        <w:rPr>
          <w:sz w:val="24"/>
          <w:szCs w:val="24"/>
          <w:lang w:val="ru-RU"/>
        </w:rPr>
        <w:t xml:space="preserve">1</w:t>
      </w:r>
      <w:r>
        <w:rPr>
          <w:sz w:val="24"/>
          <w:szCs w:val="24"/>
          <w:lang w:val="ru-RU"/>
        </w:rPr>
        <w:t xml:space="preserve">2.11</w:t>
      </w:r>
      <w:r>
        <w:rPr>
          <w:sz w:val="24"/>
          <w:szCs w:val="24"/>
          <w:lang w:val="ru-RU"/>
        </w:rPr>
        <w:t xml:space="preserve">.202</w:t>
      </w:r>
      <w:r>
        <w:rPr>
          <w:sz w:val="24"/>
          <w:szCs w:val="24"/>
          <w:lang w:val="ru-RU"/>
        </w:rPr>
        <w:t xml:space="preserve">5</w:t>
      </w:r>
      <w:r>
        <w:rPr>
          <w:sz w:val="24"/>
          <w:szCs w:val="24"/>
          <w:lang w:val="ru-RU"/>
        </w:rPr>
        <w:t xml:space="preserve"> № </w:t>
      </w:r>
      <w:r>
        <w:rPr>
          <w:sz w:val="24"/>
          <w:szCs w:val="24"/>
          <w:lang w:val="ru-RU"/>
        </w:rPr>
        <w:t xml:space="preserve">955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54"/>
        <w:jc w:val="both"/>
        <w:outlineLvl w:val="0"/>
      </w:pPr>
      <w:r>
        <w:t xml:space="preserve">       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Извещение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от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03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.12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.202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№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 3707192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instrText xml:space="preserve"> HYPERLINK "https://223.rts-tender.ru/customer/lk/auctions/view/711450" \l "1" </w:instrTex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  <w:fldChar w:fldCharType="end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о проведении запроса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котировок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в электронной форме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опубликовано 03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12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.202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на официальном сайте ПАО «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Россети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» (www.fsk-ees.ru), на сайте ЭТП «РТС-Тендер» (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instrText xml:space="preserve"> HYPERLINK "http://www.rts-tender.ru" </w:instrTex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>
        <w:rPr>
          <w:rStyle w:val="1165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</w:rPr>
        <w:t xml:space="preserve">www.</w:t>
      </w:r>
      <w:r>
        <w:rPr>
          <w:rStyle w:val="1165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  <w:lang w:val="en-US"/>
        </w:rPr>
        <w:t xml:space="preserve">rts</w:t>
      </w:r>
      <w:r>
        <w:rPr>
          <w:rStyle w:val="1165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</w:rPr>
        <w:t xml:space="preserve">-</w:t>
      </w:r>
      <w:r>
        <w:rPr>
          <w:rStyle w:val="1165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  <w:lang w:val="en-US"/>
        </w:rPr>
        <w:t xml:space="preserve">tender</w:t>
      </w:r>
      <w:r>
        <w:rPr>
          <w:rStyle w:val="1165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</w:rPr>
        <w:t xml:space="preserve">.ru</w:t>
      </w:r>
      <w:r>
        <w:rPr>
          <w:rStyle w:val="1165"/>
          <w:rFonts w:ascii="Times New Roman" w:hAnsi="Times New Roman" w:eastAsia="Times New Roman" w:cs="Times New Roman"/>
          <w:b w:val="0"/>
          <w:bCs w:val="0"/>
          <w:iCs/>
          <w:color w:val="000000" w:themeColor="text1"/>
          <w:sz w:val="24"/>
          <w:szCs w:val="24"/>
          <w:u w:val="none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), а так же на официальном сайте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fldChar w:fldCharType="separate"/>
      </w:r>
      <w:r>
        <w:rPr>
          <w:rStyle w:val="1165"/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www.zakupki.gov.ru</w:t>
      </w:r>
      <w:r>
        <w:rPr>
          <w:rStyle w:val="1165"/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u w:val="none"/>
        </w:rPr>
        <w:fldChar w:fldCharType="end"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(закупка №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highlight w:val="white"/>
        </w:rPr>
        <w:t xml:space="preserve">32515485605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).</w:t>
      </w:r>
      <w:r/>
    </w:p>
    <w:p>
      <w:pPr>
        <w:pStyle w:val="1209"/>
        <w:numPr>
          <w:ilvl w:val="0"/>
          <w:numId w:val="29"/>
        </w:numPr>
        <w:contextualSpacing/>
        <w:jc w:val="both"/>
        <w:widowControl w:val="off"/>
      </w:pPr>
      <w:r>
        <w:t xml:space="preserve">Номер лота</w:t>
      </w:r>
      <w:r>
        <w:t xml:space="preserve">: </w:t>
      </w:r>
      <w:r>
        <w:rPr>
          <w:lang w:eastAsia="zh-CN" w:bidi="hi-IN"/>
        </w:rPr>
        <w:t xml:space="preserve">1</w:t>
      </w:r>
      <w:r/>
    </w:p>
    <w:p>
      <w:pPr>
        <w:pStyle w:val="1209"/>
        <w:numPr>
          <w:ilvl w:val="0"/>
          <w:numId w:val="29"/>
        </w:numPr>
        <w:contextualSpacing/>
        <w:ind w:left="0" w:firstLine="426"/>
        <w:jc w:val="both"/>
        <w:widowControl w:val="off"/>
      </w:pPr>
      <w:r>
        <w:rPr>
          <w:b w:val="0"/>
          <w:bCs w:val="0"/>
        </w:rPr>
        <w:t xml:space="preserve">Способ и предмет закупки: запрос </w:t>
      </w:r>
      <w:r>
        <w:rPr>
          <w:b w:val="0"/>
          <w:bCs w:val="0"/>
        </w:rPr>
        <w:t xml:space="preserve">котировок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в электронной форме</w:t>
      </w:r>
      <w:r>
        <w:rPr>
          <w:b w:val="0"/>
          <w:bCs w:val="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на право заключения договора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на </w:t>
      </w:r>
      <w:r>
        <w:t xml:space="preserve">поставку </w:t>
      </w:r>
      <w:r>
        <w:t xml:space="preserve">компрессорного масла </w:t>
      </w:r>
      <w:r>
        <w:t xml:space="preserve">для нужд филиала ПАО «Россети» - Самарское ПМЭС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(</w:t>
      </w:r>
      <w:r>
        <w:rPr>
          <w:b w:val="0"/>
          <w:bCs w:val="0"/>
          <w:spacing w:val="-2"/>
        </w:rPr>
        <w:t xml:space="preserve">далее – запрос </w:t>
      </w:r>
      <w:r>
        <w:rPr>
          <w:b w:val="0"/>
          <w:bCs w:val="0"/>
          <w:spacing w:val="-2"/>
        </w:rPr>
        <w:t xml:space="preserve">котировок</w:t>
      </w:r>
      <w:r>
        <w:rPr>
          <w:b w:val="0"/>
          <w:bCs w:val="0"/>
          <w:spacing w:val="-2"/>
        </w:rPr>
        <w:t xml:space="preserve">, закупка</w:t>
      </w:r>
      <w:r>
        <w:rPr>
          <w:b w:val="0"/>
          <w:bCs w:val="0"/>
        </w:rPr>
        <w:t xml:space="preserve">).</w:t>
      </w:r>
      <w:r/>
    </w:p>
    <w:p>
      <w:pPr>
        <w:pStyle w:val="1154"/>
        <w:numPr>
          <w:ilvl w:val="0"/>
          <w:numId w:val="29"/>
        </w:numPr>
      </w:pPr>
      <w:r>
        <w:rPr>
          <w:lang w:eastAsia="zh-CN" w:bidi="hi-IN"/>
        </w:rPr>
        <w:t xml:space="preserve">Сведения</w:t>
      </w:r>
      <w:r>
        <w:rPr>
          <w:rFonts w:ascii="Times New Roman CYR" w:hAnsi="Times New Roman CYR" w:cs="Times New Roman CYR"/>
        </w:rPr>
        <w:t xml:space="preserve"> о сроке исполнения договора:</w:t>
      </w:r>
      <w:r>
        <w:rPr>
          <w:rFonts w:ascii="Times New Roman CYR" w:hAnsi="Times New Roman CYR" w:cs="Times New Roman CYR"/>
        </w:rPr>
        <w:t xml:space="preserve"> </w:t>
      </w:r>
      <w:r>
        <w:t xml:space="preserve">согласно </w:t>
      </w:r>
      <w:r>
        <w:t xml:space="preserve">разделу 10 «Техническое задание»</w:t>
      </w:r>
      <w:r>
        <w:t xml:space="preserve">.</w:t>
      </w:r>
      <w:r/>
    </w:p>
    <w:p>
      <w:pPr>
        <w:pStyle w:val="1209"/>
        <w:numPr>
          <w:ilvl w:val="0"/>
          <w:numId w:val="29"/>
        </w:numPr>
        <w:contextualSpacing/>
        <w:jc w:val="both"/>
        <w:widowControl w:val="off"/>
      </w:pPr>
      <w:r>
        <w:t xml:space="preserve">Дата</w:t>
      </w:r>
      <w:r>
        <w:t xml:space="preserve"> начала срока подачи заявок</w:t>
      </w:r>
      <w:r>
        <w:t xml:space="preserve">: 03</w:t>
      </w:r>
      <w:r>
        <w:t xml:space="preserve">.</w:t>
      </w:r>
      <w:r>
        <w:t xml:space="preserve">12</w:t>
      </w:r>
      <w:r>
        <w:t xml:space="preserve">.</w:t>
      </w:r>
      <w:r>
        <w:t xml:space="preserve">202</w:t>
      </w:r>
      <w:r>
        <w:t xml:space="preserve">5</w:t>
      </w:r>
      <w:r>
        <w:t xml:space="preserve"> </w:t>
      </w:r>
      <w:r>
        <w:t xml:space="preserve">г</w:t>
      </w:r>
      <w:r>
        <w:t xml:space="preserve">.</w:t>
      </w:r>
      <w:r/>
    </w:p>
    <w:p>
      <w:pPr>
        <w:pStyle w:val="1230"/>
        <w:numPr>
          <w:ilvl w:val="0"/>
          <w:numId w:val="29"/>
        </w:numPr>
        <w:ind w:left="0" w:firstLine="360"/>
        <w:jc w:val="both"/>
      </w:pPr>
      <w:r>
        <w:rPr>
          <w:b w:val="0"/>
          <w:bCs w:val="0"/>
        </w:rPr>
        <w:t xml:space="preserve">Дата и время окончания срока, последний день срока подачи Заявок:                                          11</w:t>
      </w:r>
      <w:r>
        <w:rPr>
          <w:b w:val="0"/>
          <w:bCs w:val="0"/>
        </w:rPr>
        <w:t xml:space="preserve">.</w:t>
      </w:r>
      <w:r>
        <w:rPr>
          <w:b w:val="0"/>
          <w:bCs w:val="0"/>
        </w:rPr>
        <w:t xml:space="preserve">12</w:t>
      </w:r>
      <w:r>
        <w:rPr>
          <w:b w:val="0"/>
          <w:bCs w:val="0"/>
        </w:rPr>
        <w:t xml:space="preserve">.</w:t>
      </w:r>
      <w:r>
        <w:rPr>
          <w:b w:val="0"/>
          <w:bCs w:val="0"/>
        </w:rPr>
        <w:t xml:space="preserve">202</w:t>
      </w:r>
      <w:r>
        <w:rPr>
          <w:b w:val="0"/>
          <w:bCs w:val="0"/>
        </w:rPr>
        <w:t xml:space="preserve">5</w:t>
      </w:r>
      <w:r>
        <w:rPr>
          <w:b w:val="0"/>
          <w:bCs w:val="0"/>
        </w:rPr>
        <w:t xml:space="preserve"> года 12</w:t>
      </w:r>
      <w:r>
        <w:rPr>
          <w:b w:val="0"/>
          <w:bCs w:val="0"/>
        </w:rPr>
        <w:t xml:space="preserve">:</w:t>
      </w:r>
      <w:r>
        <w:rPr>
          <w:b w:val="0"/>
          <w:bCs w:val="0"/>
        </w:rPr>
        <w:t xml:space="preserve">00 (время московское)</w:t>
      </w:r>
      <w:r>
        <w:rPr>
          <w:b w:val="0"/>
          <w:bCs w:val="0"/>
        </w:rPr>
        <w:t xml:space="preserve">.</w:t>
      </w:r>
      <w:r>
        <w:rPr>
          <w:highlight w:val="yellow"/>
        </w:rPr>
      </w:r>
      <w:r/>
    </w:p>
    <w:p>
      <w:pPr>
        <w:pStyle w:val="1230"/>
        <w:numPr>
          <w:ilvl w:val="0"/>
          <w:numId w:val="29"/>
        </w:numPr>
        <w:ind w:left="0" w:firstLine="360"/>
        <w:jc w:val="both"/>
        <w:tabs>
          <w:tab w:val="left" w:pos="0" w:leader="none"/>
        </w:tabs>
      </w:pPr>
      <w:r>
        <w:rPr>
          <w:lang w:eastAsia="zh-CN" w:bidi="hi-IN"/>
        </w:rPr>
        <w:t xml:space="preserve">Место</w:t>
      </w:r>
      <w:r>
        <w:t xml:space="preserve"> рассмотрения заявок:</w:t>
      </w:r>
      <w:r>
        <w:rPr>
          <w:lang w:eastAsia="zh-CN" w:bidi="hi-IN"/>
        </w:rPr>
        <w:t xml:space="preserve"> п</w:t>
      </w:r>
      <w:r>
        <w:rPr>
          <w:lang w:eastAsia="zh-CN" w:bidi="hi-IN"/>
        </w:rPr>
        <w:t xml:space="preserve">о месту нахождения Организатора: </w:t>
      </w:r>
      <w:r>
        <w:t xml:space="preserve">443100, г. Самара,                   ул. Молодогвардейская, д.226.</w:t>
      </w:r>
      <w:r>
        <w:rPr>
          <w:highlight w:val="yellow"/>
        </w:rPr>
      </w:r>
      <w:r/>
    </w:p>
    <w:p>
      <w:pPr>
        <w:pStyle w:val="1209"/>
        <w:numPr>
          <w:ilvl w:val="0"/>
          <w:numId w:val="29"/>
        </w:numPr>
        <w:contextualSpacing/>
        <w:jc w:val="both"/>
        <w:widowControl w:val="off"/>
      </w:pPr>
      <w:r>
        <w:t xml:space="preserve">Сведения о начальной (максимальной) цене договора:</w:t>
      </w:r>
      <w:r/>
    </w:p>
    <w:p>
      <w:pPr>
        <w:pStyle w:val="1154"/>
        <w:jc w:val="both"/>
        <w:tabs>
          <w:tab w:val="left" w:pos="708" w:leader="none"/>
        </w:tabs>
        <w:rPr>
          <w:rStyle w:val="1232"/>
          <w:bCs/>
          <w:sz w:val="24"/>
          <w:szCs w:val="24"/>
          <w:lang w:eastAsia="ar-SA"/>
        </w:rPr>
      </w:pPr>
      <w:r>
        <w:t xml:space="preserve">       </w:t>
      </w:r>
      <w:r>
        <w:t xml:space="preserve">Начальная (максимальная) цена договора (цена лота) </w:t>
      </w:r>
      <w:r>
        <w:t xml:space="preserve">без НДС </w:t>
      </w:r>
      <w:r>
        <w:t xml:space="preserve">составляет </w:t>
      </w:r>
      <w:r>
        <w:rPr>
          <w:highlight w:val="white"/>
        </w:rPr>
        <w:t xml:space="preserve">1 374 750</w:t>
      </w:r>
      <w:r>
        <w:rPr>
          <w:highlight w:val="white"/>
        </w:rPr>
        <w:t xml:space="preserve"> </w:t>
      </w:r>
      <w:r>
        <w:rPr>
          <w:highlight w:val="white"/>
          <w:lang w:val="ru-RU"/>
        </w:rPr>
        <w:t xml:space="preserve">(Один миллион триста семьдесят четыре тысячи семьсот пятьдесят) рублей 00 копеек, кроме того НДС в размере 20 %. Начальная (максимальная) цена договора с учетом НДС составляет </w:t>
      </w:r>
      <w:r>
        <w:rPr>
          <w:highlight w:val="white"/>
        </w:rPr>
        <w:t xml:space="preserve">1 649 700</w:t>
      </w:r>
      <w:r>
        <w:rPr>
          <w:highlight w:val="white"/>
          <w:lang w:val="ru-RU"/>
        </w:rPr>
        <w:t xml:space="preserve"> (Один миллион шестьсот сорок девять тысяч семьсот</w:t>
      </w:r>
      <w:r>
        <w:rPr>
          <w:highlight w:val="white"/>
          <w:lang w:val="ru-RU"/>
        </w:rPr>
        <w:t xml:space="preserve">) рублей 00 копеек</w:t>
      </w:r>
      <w:r>
        <w:t xml:space="preserve">.</w:t>
      </w:r>
      <w:r>
        <w:rPr>
          <w:rStyle w:val="1232"/>
          <w:bCs/>
          <w:sz w:val="24"/>
          <w:szCs w:val="24"/>
          <w:lang w:eastAsia="ar-SA"/>
        </w:rPr>
      </w:r>
      <w:r>
        <w:rPr>
          <w:rStyle w:val="1232"/>
          <w:bCs/>
          <w:sz w:val="24"/>
          <w:szCs w:val="24"/>
          <w:lang w:eastAsia="ar-SA"/>
        </w:rPr>
      </w:r>
    </w:p>
    <w:p>
      <w:pPr>
        <w:pStyle w:val="1229"/>
        <w:numPr>
          <w:ilvl w:val="0"/>
          <w:numId w:val="29"/>
        </w:numPr>
        <w:ind w:left="0" w:firstLine="360"/>
        <w:jc w:val="both"/>
        <w:spacing w:after="0" w:line="240" w:lineRule="auto"/>
        <w:tabs>
          <w:tab w:val="left" w:pos="709" w:leader="none"/>
        </w:tabs>
      </w:pPr>
      <w:r>
        <w:t xml:space="preserve">По окончании срока подачи заявок было </w:t>
      </w:r>
      <w:r>
        <w:t xml:space="preserve">подано</w:t>
      </w:r>
      <w:r>
        <w:t xml:space="preserve"> 6</w:t>
      </w:r>
      <w:r>
        <w:t xml:space="preserve"> заявок от</w:t>
      </w:r>
      <w:r>
        <w:t xml:space="preserve"> </w:t>
      </w:r>
      <w:r>
        <w:t xml:space="preserve">участников:</w:t>
      </w:r>
      <w:r/>
    </w:p>
    <w:tbl>
      <w:tblPr>
        <w:tblW w:w="10490" w:type="dxa"/>
        <w:tblInd w:w="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260"/>
        <w:gridCol w:w="4394"/>
        <w:gridCol w:w="38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0" w:type="dxa"/>
            <w:vAlign w:val="top"/>
            <w:textDirection w:val="lrTb"/>
            <w:noWrap/>
          </w:tcPr>
          <w:p>
            <w:pPr>
              <w:pStyle w:val="1154"/>
              <w:jc w:val="center"/>
              <w:spacing w:before="0" w:beforeAutospacing="0" w:after="0" w:afterAutospacing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Регистрационный  </w:t>
            </w:r>
            <w:r>
              <w:rPr>
                <w:b/>
                <w:bCs/>
                <w:sz w:val="22"/>
                <w:szCs w:val="22"/>
              </w:rPr>
              <w:t xml:space="preserve"> номер заявки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</w:tcBorders>
            <w:tcW w:w="4394" w:type="dxa"/>
            <w:vAlign w:val="top"/>
            <w:textDirection w:val="lrTb"/>
            <w:noWrap w:val="false"/>
          </w:tcPr>
          <w:p>
            <w:pPr>
              <w:pStyle w:val="1154"/>
              <w:jc w:val="center"/>
              <w:spacing w:before="0" w:beforeAutospacing="0" w:after="0" w:afterAutospacing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Дата </w:t>
            </w:r>
            <w:r>
              <w:rPr>
                <w:b/>
                <w:bCs/>
                <w:sz w:val="22"/>
                <w:szCs w:val="22"/>
              </w:rPr>
              <w:t xml:space="preserve">и время 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  <w:p>
            <w:pPr>
              <w:pStyle w:val="1154"/>
              <w:jc w:val="center"/>
              <w:spacing w:before="0" w:beforeAutospacing="0" w:after="0" w:afterAutospacing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подачи заявки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3836" w:type="dxa"/>
            <w:vAlign w:val="top"/>
            <w:textDirection w:val="lrTb"/>
            <w:noWrap/>
          </w:tcPr>
          <w:p>
            <w:pPr>
              <w:pStyle w:val="1154"/>
              <w:jc w:val="center"/>
              <w:spacing w:before="0" w:beforeAutospacing="0" w:after="0" w:afterAutospacing="0" w:line="240" w:lineRule="auto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Наименование участника</w:t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0" w:type="dxa"/>
            <w:vAlign w:val="center"/>
            <w:textDirection w:val="lrTb"/>
            <w:noWrap/>
          </w:tcPr>
          <w:p>
            <w:pPr>
              <w:pStyle w:val="1154"/>
              <w:jc w:val="center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white"/>
              </w:rPr>
              <w:t xml:space="preserve">1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439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10.12.2025 15:38 (МСК)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36" w:type="dxa"/>
            <w:vAlign w:val="center"/>
            <w:textDirection w:val="lrTb"/>
            <w:noWrap/>
          </w:tcPr>
          <w:p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</w:rPr>
              <w:t xml:space="preserve">ООО «Волга-Энерджи»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0" w:type="dxa"/>
            <w:vAlign w:val="center"/>
            <w:vMerge w:val="restart"/>
            <w:textDirection w:val="lrTb"/>
            <w:noWrap/>
          </w:tcPr>
          <w:p>
            <w:pPr>
              <w:pStyle w:val="1154"/>
              <w:jc w:val="center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none"/>
              </w:rPr>
              <w:t xml:space="preserve">2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439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10.12.2025 18:08 (МСК)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36" w:type="dxa"/>
            <w:vAlign w:val="center"/>
            <w:vMerge w:val="restart"/>
            <w:textDirection w:val="lrTb"/>
            <w:noWrap/>
          </w:tcPr>
          <w:p>
            <w:pPr>
              <w:pStyle w:val="996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ООО «СВ-ЛОГИСТИК»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0" w:type="dxa"/>
            <w:vAlign w:val="center"/>
            <w:vMerge w:val="restart"/>
            <w:textDirection w:val="lrTb"/>
            <w:noWrap/>
          </w:tcPr>
          <w:p>
            <w:pPr>
              <w:pStyle w:val="1154"/>
              <w:jc w:val="center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none"/>
              </w:rPr>
              <w:t xml:space="preserve">3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439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11.12.2025 09:52 (МСК)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36" w:type="dxa"/>
            <w:vAlign w:val="center"/>
            <w:vMerge w:val="restart"/>
            <w:textDirection w:val="lrTb"/>
            <w:noWrap/>
          </w:tcPr>
          <w:p>
            <w:pPr>
              <w:pStyle w:val="996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</w:rPr>
              <w:t xml:space="preserve">ООО «КОМТЕХ»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0" w:type="dxa"/>
            <w:vAlign w:val="center"/>
            <w:vMerge w:val="restart"/>
            <w:textDirection w:val="lrTb"/>
            <w:noWrap/>
          </w:tcPr>
          <w:p>
            <w:pPr>
              <w:pStyle w:val="1154"/>
              <w:jc w:val="center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none"/>
              </w:rPr>
              <w:t xml:space="preserve">4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439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11.12.2025 10:22 (МСК)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36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ООО «РЕМиКС»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0" w:type="dxa"/>
            <w:vAlign w:val="center"/>
            <w:vMerge w:val="restart"/>
            <w:textDirection w:val="lrTb"/>
            <w:noWrap/>
          </w:tcPr>
          <w:p>
            <w:pPr>
              <w:pStyle w:val="1154"/>
              <w:jc w:val="center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none"/>
              </w:rPr>
              <w:t xml:space="preserve">5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439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11.12.2025 11:36 (МСК)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36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ООО «СПЕЦ-СМАЗ ГРУПП»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</w:tr>
      <w:tr>
        <w:tblPrEx/>
        <w:trPr>
          <w:trHeight w:val="41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0" w:type="dxa"/>
            <w:vAlign w:val="center"/>
            <w:vMerge w:val="restart"/>
            <w:textDirection w:val="lrTb"/>
            <w:noWrap/>
          </w:tcPr>
          <w:p>
            <w:pPr>
              <w:pStyle w:val="1154"/>
              <w:jc w:val="center"/>
              <w:rPr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  <w:highlight w:val="none"/>
              </w:rPr>
              <w:t xml:space="preserve">6</w:t>
            </w:r>
            <w:r>
              <w:rPr>
                <w:sz w:val="22"/>
                <w:szCs w:val="22"/>
                <w:highlight w:val="white"/>
              </w:rPr>
            </w:r>
            <w:r>
              <w:rPr>
                <w:sz w:val="22"/>
                <w:szCs w:val="22"/>
                <w:highlight w:val="white"/>
              </w:rPr>
            </w:r>
          </w:p>
        </w:tc>
        <w:tc>
          <w:tcPr>
            <w:tcW w:w="4394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11.12.2025 11:52 (МСК)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3836" w:type="dxa"/>
            <w:vAlign w:val="center"/>
            <w:vMerge w:val="restart"/>
            <w:textDirection w:val="lrTb"/>
            <w:noWrap/>
          </w:tcPr>
          <w:p>
            <w:pPr>
              <w:jc w:val="center"/>
              <w:rPr>
                <w:b/>
                <w:bCs/>
                <w:sz w:val="20"/>
                <w:szCs w:val="20"/>
                <w:highlight w:val="no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</w:rPr>
              <w:t xml:space="preserve">ООО «ГОЛДА»</w:t>
            </w:r>
            <w:r>
              <w:rPr>
                <w:b/>
                <w:bCs/>
                <w:sz w:val="20"/>
                <w:szCs w:val="20"/>
                <w:highlight w:val="none"/>
              </w:rPr>
            </w:r>
            <w:r>
              <w:rPr>
                <w:b/>
                <w:bCs/>
                <w:sz w:val="20"/>
                <w:szCs w:val="20"/>
                <w:highlight w:val="none"/>
              </w:rPr>
            </w:r>
          </w:p>
        </w:tc>
      </w:tr>
    </w:tbl>
    <w:p>
      <w:pPr>
        <w:ind w:left="1080" w:firstLine="0"/>
        <w:jc w:val="both"/>
        <w:widowControl w:val="off"/>
        <w:tabs>
          <w:tab w:val="left" w:pos="540" w:leader="none"/>
        </w:tabs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1154"/>
        <w:numPr>
          <w:ilvl w:val="0"/>
          <w:numId w:val="1"/>
        </w:numPr>
        <w:jc w:val="both"/>
        <w:widowControl w:val="off"/>
        <w:tabs>
          <w:tab w:val="left" w:pos="540" w:leader="none"/>
        </w:tabs>
        <w:rPr>
          <w:b/>
          <w:bCs/>
        </w:rPr>
      </w:pPr>
      <w:r>
        <w:rPr>
          <w:b/>
          <w:bCs/>
        </w:rPr>
        <w:t xml:space="preserve">Результаты рассмотрения заявок:</w:t>
      </w:r>
      <w:r>
        <w:rPr>
          <w:b/>
          <w:bCs/>
        </w:rPr>
      </w:r>
      <w:r>
        <w:rPr>
          <w:b/>
          <w:bCs/>
        </w:rPr>
      </w:r>
    </w:p>
    <w:p>
      <w:pPr>
        <w:pStyle w:val="1154"/>
        <w:ind w:left="360"/>
        <w:jc w:val="both"/>
        <w:tabs>
          <w:tab w:val="left" w:pos="993" w:leader="none"/>
        </w:tabs>
        <w:rPr>
          <w:highlight w:val="none"/>
        </w:rPr>
      </w:pPr>
      <w:r>
        <w:tab/>
      </w:r>
      <w:r>
        <w:t xml:space="preserve">Комиссия рассмотрела </w:t>
      </w:r>
      <w:r>
        <w:t xml:space="preserve">заявки</w:t>
      </w:r>
      <w:r>
        <w:t xml:space="preserve"> участник</w:t>
      </w:r>
      <w:r>
        <w:t xml:space="preserve">ов</w:t>
      </w:r>
      <w:r>
        <w:t xml:space="preserve"> процедуры на соответствие требованиям, установленным документацией, и приняла следующие решения:</w:t>
      </w:r>
      <w:r>
        <w:rPr>
          <w:highlight w:val="none"/>
        </w:rPr>
      </w:r>
      <w:r>
        <w:rPr>
          <w:highlight w:val="none"/>
        </w:rPr>
      </w:r>
    </w:p>
    <w:p>
      <w:pPr>
        <w:pStyle w:val="1154"/>
        <w:ind w:left="360"/>
        <w:jc w:val="both"/>
        <w:tabs>
          <w:tab w:val="left" w:pos="993" w:leader="none"/>
        </w:tabs>
      </w:pPr>
      <w:r/>
      <w:r/>
    </w:p>
    <w:p>
      <w:pPr>
        <w:pStyle w:val="1209"/>
        <w:numPr>
          <w:ilvl w:val="0"/>
          <w:numId w:val="45"/>
        </w:numPr>
        <w:contextualSpacing/>
        <w:ind w:left="0" w:firstLine="36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Признать соответствующей требованиям </w:t>
      </w:r>
      <w:r>
        <w:rPr>
          <w:sz w:val="24"/>
          <w:szCs w:val="24"/>
        </w:rPr>
        <w:t xml:space="preserve">извещения о закупке (одновременно является документацией)</w:t>
      </w:r>
      <w:r>
        <w:rPr>
          <w:sz w:val="24"/>
          <w:szCs w:val="24"/>
        </w:rPr>
        <w:t xml:space="preserve"> и принять к</w:t>
      </w:r>
      <w:r>
        <w:rPr>
          <w:sz w:val="24"/>
          <w:szCs w:val="24"/>
        </w:rPr>
        <w:t xml:space="preserve"> дальнейшему рассмотрению заявку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ООО «Волга-Энерджи»</w:t>
      </w:r>
      <w:r>
        <w:rPr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209"/>
        <w:numPr>
          <w:ilvl w:val="0"/>
          <w:numId w:val="45"/>
        </w:numPr>
        <w:contextualSpacing/>
        <w:ind w:left="0" w:firstLine="36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  <w:t xml:space="preserve">     Признать соответствующей требованиям </w:t>
      </w:r>
      <w:r>
        <w:rPr>
          <w:sz w:val="24"/>
          <w:szCs w:val="24"/>
        </w:rPr>
        <w:t xml:space="preserve">извещения о закупке (одновременно является документацией)</w:t>
      </w:r>
      <w:r>
        <w:rPr>
          <w:sz w:val="24"/>
          <w:szCs w:val="24"/>
        </w:rPr>
        <w:t xml:space="preserve"> и принять к</w:t>
      </w:r>
      <w:r>
        <w:rPr>
          <w:sz w:val="24"/>
          <w:szCs w:val="24"/>
        </w:rPr>
        <w:t xml:space="preserve"> дальнейшему рассмотрению заявку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ООО «СВ-ЛОГИСТИК»</w:t>
      </w:r>
      <w:r>
        <w:rPr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209"/>
        <w:numPr>
          <w:ilvl w:val="0"/>
          <w:numId w:val="45"/>
        </w:numPr>
        <w:contextualSpacing/>
        <w:ind w:left="0" w:firstLine="36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Признать </w:t>
      </w:r>
      <w:r>
        <w:rPr>
          <w:sz w:val="24"/>
          <w:szCs w:val="24"/>
        </w:rPr>
        <w:t xml:space="preserve">не соответствующей требованиям извещения о закупке (одновременно является документацией) и отклонить от дальнейшего рассмотрения</w:t>
      </w:r>
      <w:r>
        <w:rPr>
          <w:sz w:val="24"/>
          <w:szCs w:val="24"/>
        </w:rPr>
        <w:t xml:space="preserve"> заявку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ООО «КОМТЕХ»</w:t>
      </w:r>
      <w:r>
        <w:rPr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192"/>
        <w:ind w:left="0" w:firstLine="284"/>
        <w:jc w:val="both"/>
        <w:spacing w:after="0" w:line="240" w:lineRule="auto"/>
        <w:tabs>
          <w:tab w:val="left" w:pos="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i/>
          <w:sz w:val="24"/>
          <w:szCs w:val="24"/>
          <w:highlight w:val="none"/>
        </w:rPr>
        <w:t xml:space="preserve">Основание для отклонения: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п.3.3 (б)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Документации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92"/>
        <w:ind w:left="0" w:firstLine="284"/>
        <w:jc w:val="both"/>
        <w:spacing w:after="0" w:line="240" w:lineRule="auto"/>
        <w:tabs>
          <w:tab w:val="left" w:pos="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i/>
          <w:sz w:val="24"/>
          <w:szCs w:val="24"/>
          <w:highlight w:val="none"/>
        </w:rPr>
        <w:t xml:space="preserve">Причины отклонения: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209"/>
        <w:contextualSpacing/>
        <w:ind w:left="360" w:firstLine="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В техническом предложении участника не подтверждено выполнение участником каждого пункта (подпункта) раздела 10 «Техническое задание» (не соответствует п. 3 инструкции по заполнению технического предложения (приложение 2 к заявке)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>
      <w:pPr>
        <w:pStyle w:val="1209"/>
        <w:numPr>
          <w:ilvl w:val="0"/>
          <w:numId w:val="45"/>
        </w:numPr>
        <w:contextualSpacing/>
        <w:ind w:left="0" w:firstLine="36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  <w:t xml:space="preserve">     Признать </w:t>
      </w:r>
      <w:r>
        <w:rPr>
          <w:sz w:val="24"/>
          <w:szCs w:val="24"/>
        </w:rPr>
        <w:t xml:space="preserve">не соответствующей требованиям извещения о закупке (одновременно является документацией) и отклонить от дальнейшего рассмотрения</w:t>
      </w:r>
      <w:r>
        <w:rPr>
          <w:sz w:val="24"/>
          <w:szCs w:val="24"/>
        </w:rPr>
        <w:t xml:space="preserve"> заявку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ООО «РЕМиКС»</w:t>
      </w:r>
      <w:r>
        <w:rPr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192"/>
        <w:ind w:left="0" w:firstLine="284"/>
        <w:jc w:val="both"/>
        <w:spacing w:after="0" w:line="240" w:lineRule="auto"/>
        <w:tabs>
          <w:tab w:val="left" w:pos="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i/>
          <w:sz w:val="24"/>
          <w:szCs w:val="24"/>
          <w:highlight w:val="none"/>
        </w:rPr>
        <w:t xml:space="preserve">Основание для отклонения: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п.3.3 (б)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Документации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92"/>
        <w:ind w:left="0" w:firstLine="284"/>
        <w:jc w:val="both"/>
        <w:spacing w:after="0" w:line="240" w:lineRule="auto"/>
        <w:tabs>
          <w:tab w:val="left" w:pos="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i/>
          <w:sz w:val="24"/>
          <w:szCs w:val="24"/>
          <w:highlight w:val="none"/>
        </w:rPr>
        <w:t xml:space="preserve">Причины отклонения: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209"/>
        <w:contextualSpacing/>
        <w:ind w:left="360" w:firstLine="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В составе заявки отсутствует предложение о цене договора по форме приложения 6 к заявке на участие в запросе котировок, что не соответствует п. 2.5 (в) Документации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209"/>
        <w:numPr>
          <w:ilvl w:val="0"/>
          <w:numId w:val="45"/>
        </w:numPr>
        <w:contextualSpacing/>
        <w:ind w:left="0" w:firstLine="36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Признать </w:t>
      </w:r>
      <w:r>
        <w:rPr>
          <w:sz w:val="24"/>
          <w:szCs w:val="24"/>
        </w:rPr>
        <w:t xml:space="preserve">не соответствующей требованиям извещения о закупке (одновременно является документацией) и отклонить от дальнейшего рассмотрения</w:t>
      </w:r>
      <w:r>
        <w:rPr>
          <w:sz w:val="24"/>
          <w:szCs w:val="24"/>
        </w:rPr>
        <w:t xml:space="preserve"> заявку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ООО «СПЕЦ-СМАЗ ГРУПП»</w:t>
      </w:r>
      <w:r>
        <w:rPr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192"/>
        <w:ind w:left="0" w:firstLine="284"/>
        <w:jc w:val="both"/>
        <w:spacing w:after="0" w:line="240" w:lineRule="auto"/>
        <w:tabs>
          <w:tab w:val="left" w:pos="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i/>
          <w:sz w:val="24"/>
          <w:szCs w:val="24"/>
          <w:highlight w:val="none"/>
        </w:rPr>
        <w:t xml:space="preserve">Основание для отклонения: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п.3.3 (б) 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Документации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192"/>
        <w:ind w:left="0" w:firstLine="284"/>
        <w:jc w:val="both"/>
        <w:spacing w:after="0" w:line="240" w:lineRule="auto"/>
        <w:tabs>
          <w:tab w:val="left" w:pos="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i/>
          <w:sz w:val="24"/>
          <w:szCs w:val="24"/>
          <w:highlight w:val="none"/>
        </w:rPr>
        <w:t xml:space="preserve">Причины отклонения:</w:t>
      </w:r>
      <w:r>
        <w:rPr>
          <w:rFonts w:ascii="Times New Roman" w:hAnsi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209"/>
        <w:contextualSpacing/>
        <w:ind w:left="360" w:firstLine="0"/>
        <w:jc w:val="both"/>
        <w:widowControl w:val="off"/>
        <w:tabs>
          <w:tab w:val="left" w:pos="54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- 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В техническом предложении участника не подтверждено выполнение участником каждого пункта (подпункта) раздела 10 «Техническое задание» (не соответствует п. 3 инструкции по заполнению технического предложения (приложение 2 к заявке)</w:t>
      </w:r>
      <w:r>
        <w:rPr>
          <w:b/>
          <w:bCs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1209"/>
        <w:contextualSpacing/>
        <w:ind w:left="360" w:firstLine="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- Не соответствует заявленным характеристикам в ТЗ (температура застывания выше требуемой). Участник указал температуру застывания -18°, согласно пп.4 таблицы п.2.10 раздела 10 «Техническое задание» температура застывания °С≤20°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209"/>
        <w:numPr>
          <w:ilvl w:val="0"/>
          <w:numId w:val="45"/>
        </w:numPr>
        <w:contextualSpacing/>
        <w:ind w:left="0" w:firstLine="360"/>
        <w:jc w:val="both"/>
        <w:widowControl w:val="off"/>
        <w:tabs>
          <w:tab w:val="left" w:pos="540" w:leader="none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sz w:val="24"/>
          <w:szCs w:val="24"/>
        </w:rPr>
        <w:t xml:space="preserve">     Признать соответствующей требованиям </w:t>
      </w:r>
      <w:r>
        <w:rPr>
          <w:sz w:val="24"/>
          <w:szCs w:val="24"/>
        </w:rPr>
        <w:t xml:space="preserve">извещения о закупке (одновременно является документацией)</w:t>
      </w:r>
      <w:r>
        <w:rPr>
          <w:sz w:val="24"/>
          <w:szCs w:val="24"/>
        </w:rPr>
        <w:t xml:space="preserve"> и принять к</w:t>
      </w:r>
      <w:r>
        <w:rPr>
          <w:sz w:val="24"/>
          <w:szCs w:val="24"/>
        </w:rPr>
        <w:t xml:space="preserve"> дальнейшему рассмотрению заявку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  <w:highlight w:val="white"/>
        </w:rPr>
        <w:t xml:space="preserve">ООО «ГОЛДА»</w:t>
      </w:r>
      <w:r>
        <w:rPr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209"/>
        <w:contextualSpacing/>
        <w:ind w:left="0" w:right="0" w:firstLine="425"/>
        <w:jc w:val="both"/>
        <w:widowControl w:val="off"/>
        <w:tabs>
          <w:tab w:val="left" w:pos="426" w:leader="none"/>
          <w:tab w:val="left" w:pos="993" w:leader="none"/>
        </w:tabs>
        <w:rPr>
          <w:color w:val="000000"/>
          <w:sz w:val="24"/>
          <w:szCs w:val="24"/>
          <w:highlight w:val="none"/>
        </w:rPr>
      </w:pP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  <w:r>
        <w:rPr>
          <w:color w:val="000000"/>
          <w:sz w:val="24"/>
          <w:szCs w:val="24"/>
          <w:highlight w:val="none"/>
        </w:rPr>
      </w:r>
    </w:p>
    <w:p>
      <w:pPr>
        <w:pStyle w:val="1209"/>
        <w:contextualSpacing/>
        <w:ind w:left="360" w:right="0" w:firstLine="0"/>
        <w:jc w:val="both"/>
        <w:widowControl w:val="off"/>
        <w:tabs>
          <w:tab w:val="left" w:pos="540" w:leader="none"/>
          <w:tab w:val="left" w:pos="993" w:leader="none"/>
        </w:tabs>
        <w:rPr>
          <w:color w:val="000000"/>
        </w:rPr>
      </w:pPr>
      <w:r>
        <w:rPr>
          <w:color w:val="000000"/>
        </w:rPr>
        <w:t xml:space="preserve">7. Провести аукционную процедуру понижения цены (переторжку):</w:t>
      </w:r>
      <w:r>
        <w:rPr>
          <w:color w:val="000000"/>
        </w:rPr>
      </w:r>
      <w:r>
        <w:rPr>
          <w:color w:val="000000"/>
        </w:rPr>
      </w:r>
    </w:p>
    <w:p>
      <w:pPr>
        <w:pStyle w:val="1168"/>
        <w:numPr>
          <w:ilvl w:val="0"/>
          <w:numId w:val="56"/>
        </w:numPr>
        <w:ind w:left="425" w:right="0" w:hanging="425"/>
        <w:tabs>
          <w:tab w:val="left" w:pos="-567" w:leader="none"/>
        </w:tabs>
        <w:rPr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проведения процедуры переторжки – очная с использованием функционала                 «РТС-Тендер»</w:t>
      </w:r>
      <w:r>
        <w:rPr>
          <w:rFonts w:ascii="Times New Roman" w:hAnsi="Times New Roman" w:cs="Times New Roman"/>
          <w:sz w:val="24"/>
          <w:szCs w:val="24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1168"/>
        <w:numPr>
          <w:ilvl w:val="0"/>
          <w:numId w:val="56"/>
        </w:numPr>
        <w:ind w:left="425" w:right="0" w:hanging="425"/>
        <w:tabs>
          <w:tab w:val="left" w:pos="-567" w:leader="none"/>
        </w:tabs>
        <w:rPr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и время проведения процедуры переторжки – 17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12</w:t>
      </w:r>
      <w:r>
        <w:rPr>
          <w:rFonts w:ascii="Times New Roman" w:hAnsi="Times New Roman" w:cs="Times New Roman"/>
          <w:sz w:val="24"/>
          <w:szCs w:val="24"/>
        </w:rPr>
        <w:t xml:space="preserve">.2025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00</w:t>
      </w:r>
      <w:r>
        <w:rPr>
          <w:rFonts w:ascii="Times New Roman" w:hAnsi="Times New Roman" w:cs="Times New Roman"/>
          <w:sz w:val="24"/>
          <w:szCs w:val="24"/>
        </w:rPr>
        <w:t xml:space="preserve"> (время московское)</w:t>
      </w:r>
      <w:r>
        <w:rPr>
          <w:lang w:val="ru-RU"/>
        </w:rPr>
        <w:t xml:space="preserve">  </w:t>
      </w:r>
      <w:r>
        <w:rPr>
          <w:lang w:val="ru-RU"/>
        </w:rPr>
      </w:r>
      <w:r>
        <w:rPr>
          <w:lang w:val="ru-RU"/>
        </w:rPr>
      </w:r>
    </w:p>
    <w:p>
      <w:pPr>
        <w:pStyle w:val="1209"/>
        <w:contextualSpacing/>
        <w:ind w:left="0"/>
        <w:jc w:val="both"/>
        <w:widowControl w:val="off"/>
        <w:tabs>
          <w:tab w:val="left" w:pos="993" w:leader="none"/>
        </w:tabs>
      </w:pPr>
      <w:r/>
      <w:r/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52"/>
        <w:gridCol w:w="1843"/>
        <w:gridCol w:w="2126"/>
        <w:gridCol w:w="396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1154"/>
              <w:ind w:firstLine="34"/>
              <w:jc w:val="center"/>
              <w:rPr>
                <w:rFonts w:ascii="Times New Roman CYR" w:hAnsi="Times New Roman CYR"/>
                <w:highlight w:val="cyan"/>
              </w:rPr>
            </w:pPr>
            <w:r>
              <w:rPr>
                <w:rFonts w:ascii="Times New Roman CYR" w:hAnsi="Times New Roman CYR"/>
              </w:rPr>
              <w:t xml:space="preserve">Председател</w:t>
            </w:r>
            <w:r>
              <w:rPr>
                <w:rFonts w:ascii="Times New Roman CYR" w:hAnsi="Times New Roman CYR"/>
              </w:rPr>
              <w:t xml:space="preserve">ь</w:t>
            </w:r>
            <w:r>
              <w:rPr>
                <w:rFonts w:ascii="Times New Roman CYR" w:hAnsi="Times New Roman CYR"/>
              </w:rPr>
              <w:t xml:space="preserve"> Закупочной комиссии</w:t>
            </w:r>
            <w:r>
              <w:rPr>
                <w:rFonts w:ascii="Times New Roman CYR" w:hAnsi="Times New Roman CYR"/>
                <w:highlight w:val="cyan"/>
              </w:rPr>
            </w:r>
            <w:r>
              <w:rPr>
                <w:rFonts w:ascii="Times New Roman CYR" w:hAnsi="Times New Roman CYR"/>
                <w:highlight w:val="cy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Style w:val="1154"/>
              <w:ind w:firstLine="34"/>
              <w:jc w:val="center"/>
              <w:tabs>
                <w:tab w:val="center" w:pos="4677" w:leader="none"/>
                <w:tab w:val="right" w:pos="9355" w:leader="none"/>
              </w:tabs>
              <w:rPr>
                <w:rFonts w:ascii="Times New Roman CYR" w:hAnsi="Times New Roman CYR"/>
                <w:highlight w:val="cyan"/>
              </w:rPr>
            </w:pPr>
            <w:r>
              <w:rPr>
                <w:rFonts w:ascii="Times New Roman CYR" w:hAnsi="Times New Roman CYR"/>
                <w:highlight w:val="cyan"/>
              </w:rPr>
            </w:r>
            <w:r>
              <w:rPr>
                <w:rFonts w:ascii="Times New Roman CYR" w:hAnsi="Times New Roman CYR"/>
                <w:highlight w:val="cyan"/>
              </w:rPr>
            </w:r>
            <w:r>
              <w:rPr>
                <w:rFonts w:ascii="Times New Roman CYR" w:hAnsi="Times New Roman CYR"/>
                <w:highlight w:val="cyan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Style w:val="1154"/>
              <w:ind w:firstLine="34"/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 xml:space="preserve">С.А.</w:t>
            </w:r>
            <w:r>
              <w:rPr>
                <w:rFonts w:ascii="Times New Roman CYR" w:hAnsi="Times New Roman CYR"/>
              </w:rPr>
              <w:t xml:space="preserve"> </w:t>
            </w:r>
            <w:r>
              <w:rPr>
                <w:rFonts w:ascii="Times New Roman CYR" w:hAnsi="Times New Roman CYR"/>
              </w:rPr>
              <w:t xml:space="preserve">Демин</w:t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center"/>
            <w:textDirection w:val="lrTb"/>
            <w:noWrap w:val="false"/>
          </w:tcPr>
          <w:p>
            <w:pPr>
              <w:pStyle w:val="1154"/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 xml:space="preserve">Генеральн</w:t>
            </w:r>
            <w:r>
              <w:rPr>
                <w:rFonts w:ascii="Times New Roman CYR" w:hAnsi="Times New Roman CYR"/>
              </w:rPr>
              <w:t xml:space="preserve">ый</w:t>
            </w:r>
            <w:r>
              <w:rPr>
                <w:rFonts w:ascii="Times New Roman CYR" w:hAnsi="Times New Roman CYR"/>
              </w:rPr>
              <w:t xml:space="preserve">  директор</w:t>
            </w:r>
            <w:r>
              <w:rPr>
                <w:rFonts w:ascii="Times New Roman CYR" w:hAnsi="Times New Roman CYR"/>
              </w:rPr>
              <w:t xml:space="preserve"> </w:t>
            </w:r>
            <w:r>
              <w:rPr>
                <w:rFonts w:ascii="Times New Roman CYR" w:hAnsi="Times New Roman CYR"/>
              </w:rPr>
              <w:t xml:space="preserve">филиала ПАО «</w:t>
            </w:r>
            <w:r>
              <w:rPr>
                <w:rFonts w:ascii="Times New Roman CYR" w:hAnsi="Times New Roman CYR"/>
              </w:rPr>
              <w:t xml:space="preserve">Россети</w:t>
            </w:r>
            <w:r>
              <w:rPr>
                <w:rFonts w:ascii="Times New Roman CYR" w:hAnsi="Times New Roman CYR"/>
              </w:rPr>
              <w:t xml:space="preserve">» - МЭС Волги</w:t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1154"/>
              <w:ind w:firstLine="34"/>
              <w:jc w:val="center"/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  <w:t xml:space="preserve">Ответственный секретарь Закупочной комиссии</w:t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Style w:val="1154"/>
              <w:ind w:firstLine="34"/>
              <w:jc w:val="center"/>
              <w:tabs>
                <w:tab w:val="center" w:pos="4677" w:leader="none"/>
                <w:tab w:val="right" w:pos="9355" w:leader="none"/>
              </w:tabs>
              <w:rPr>
                <w:rFonts w:ascii="Times New Roman CYR" w:hAnsi="Times New Roman CYR"/>
              </w:rPr>
            </w:pP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  <w:r>
              <w:rPr>
                <w:rFonts w:ascii="Times New Roman CYR" w:hAnsi="Times New Roman CY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А.С. Дементьев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969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Главный с</w:t>
            </w:r>
            <w:r>
              <w:rPr>
                <w:sz w:val="24"/>
                <w:szCs w:val="24"/>
              </w:rPr>
              <w:t xml:space="preserve">пециалист службы </w:t>
            </w:r>
            <w:r>
              <w:rPr>
                <w:sz w:val="24"/>
                <w:szCs w:val="24"/>
              </w:rPr>
              <w:t xml:space="preserve">закупок</w:t>
            </w:r>
            <w:r>
              <w:rPr>
                <w:sz w:val="24"/>
                <w:szCs w:val="24"/>
              </w:rPr>
              <w:t xml:space="preserve"> филиала ПАО «Россети» - МЭС Волги</w:t>
            </w:r>
            <w:r/>
          </w:p>
        </w:tc>
      </w:tr>
    </w:tbl>
    <w:p>
      <w:r/>
      <w:r/>
    </w:p>
    <w:sectPr>
      <w:headerReference w:type="default" r:id="rId9"/>
      <w:headerReference w:type="even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567" w:right="720" w:bottom="1560" w:left="720" w:header="540" w:footer="42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Verdana">
    <w:panose1 w:val="020B0604030504040204"/>
  </w:font>
  <w:font w:name="Tahoma">
    <w:panose1 w:val="020B0604030504040204"/>
  </w:font>
  <w:font w:name="Times New Roman CYR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4"/>
      <w:jc w:val="center"/>
      <w:tabs>
        <w:tab w:val="left" w:pos="986" w:leader="none"/>
        <w:tab w:val="center" w:pos="5197" w:leader="none"/>
      </w:tabs>
      <w:rPr>
        <w:b/>
      </w:rPr>
      <w:outlineLvl w:val="0"/>
    </w:pPr>
    <w:r>
      <w:rPr>
        <w:b w:val="0"/>
        <w:bCs w:val="0"/>
        <w:sz w:val="16"/>
        <w:szCs w:val="16"/>
      </w:rPr>
      <w:t xml:space="preserve">ПРОТОКОЛ № 1</w:t>
    </w:r>
    <w:r>
      <w:rPr>
        <w:b w:val="0"/>
        <w:bCs w:val="0"/>
        <w:sz w:val="16"/>
        <w:szCs w:val="16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color w:val="000000"/>
        <w:sz w:val="16"/>
        <w:szCs w:val="16"/>
        <w:highlight w:val="white"/>
        <w:shd w:val="clear" w:color="ffffff" w:themeColor="background1" w:fill="ffffff" w:themeFill="background1"/>
      </w:rPr>
      <w:t xml:space="preserve">3707192</w:t>
    </w:r>
    <w:r>
      <w:rPr>
        <w:b w:val="0"/>
        <w:bCs w:val="0"/>
        <w:sz w:val="16"/>
        <w:szCs w:val="16"/>
      </w:rPr>
    </w:r>
    <w:r>
      <w:rPr>
        <w:b w:val="0"/>
        <w:bCs w:val="0"/>
        <w:sz w:val="16"/>
        <w:szCs w:val="16"/>
      </w:rPr>
    </w:r>
  </w:p>
  <w:p>
    <w:pPr>
      <w:pStyle w:val="1154"/>
      <w:jc w:val="center"/>
      <w:tabs>
        <w:tab w:val="left" w:pos="986" w:leader="none"/>
        <w:tab w:val="center" w:pos="5197" w:leader="none"/>
      </w:tabs>
      <w:rPr>
        <w:b w:val="0"/>
        <w:bCs w:val="0"/>
        <w:iCs/>
        <w:sz w:val="16"/>
        <w:szCs w:val="16"/>
      </w:rPr>
      <w:outlineLvl w:val="0"/>
    </w:pPr>
    <w:r>
      <w:rPr>
        <w:b w:val="0"/>
        <w:bCs w:val="0"/>
        <w:sz w:val="16"/>
        <w:szCs w:val="16"/>
      </w:rPr>
      <w:t xml:space="preserve">з</w:t>
    </w:r>
    <w:r>
      <w:rPr>
        <w:b w:val="0"/>
        <w:bCs w:val="0"/>
        <w:sz w:val="16"/>
        <w:szCs w:val="16"/>
      </w:rPr>
      <w:t xml:space="preserve">аочного заседания Закупочной комиссии </w:t>
    </w:r>
    <w:r>
      <w:rPr>
        <w:b w:val="0"/>
        <w:bCs w:val="0"/>
        <w:sz w:val="16"/>
        <w:szCs w:val="16"/>
      </w:rPr>
      <w:t xml:space="preserve">по рассмотрению заявок участников </w:t>
    </w:r>
    <w:r>
      <w:rPr>
        <w:b w:val="0"/>
        <w:bCs w:val="0"/>
        <w:sz w:val="16"/>
        <w:szCs w:val="16"/>
      </w:rPr>
      <w:t xml:space="preserve">запроса </w:t>
    </w:r>
    <w:r>
      <w:rPr>
        <w:b w:val="0"/>
        <w:bCs w:val="0"/>
        <w:sz w:val="16"/>
        <w:szCs w:val="16"/>
      </w:rPr>
      <w:t xml:space="preserve">котировок</w:t>
    </w:r>
    <w:r>
      <w:rPr>
        <w:b w:val="0"/>
        <w:bCs w:val="0"/>
        <w:sz w:val="16"/>
        <w:szCs w:val="16"/>
      </w:rPr>
      <w:t xml:space="preserve"> в электронной форме</w:t>
    </w:r>
    <w:r>
      <w:rPr>
        <w:b w:val="0"/>
        <w:bCs w:val="0"/>
        <w:sz w:val="16"/>
        <w:szCs w:val="16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sz w:val="16"/>
        <w:szCs w:val="16"/>
      </w:rPr>
      <w:t xml:space="preserve">на право заключения договора </w:t>
    </w:r>
    <w:r>
      <w:rPr>
        <w:rFonts w:ascii="Times New Roman" w:hAnsi="Times New Roman" w:eastAsia="Times New Roman" w:cs="Times New Roman"/>
        <w:b w:val="0"/>
        <w:bCs w:val="0"/>
        <w:sz w:val="16"/>
        <w:szCs w:val="16"/>
      </w:rPr>
      <w:t xml:space="preserve">на </w:t>
    </w:r>
    <w:r>
      <w:rPr>
        <w:rFonts w:ascii="Times New Roman" w:hAnsi="Times New Roman" w:eastAsia="Times New Roman" w:cs="Times New Roman"/>
        <w:b w:val="0"/>
        <w:bCs w:val="0"/>
        <w:sz w:val="16"/>
        <w:szCs w:val="16"/>
      </w:rPr>
      <w:t xml:space="preserve">поставку компрессорного масла для нужд филиала ПАО «Россети» - Самарское ПМЭС</w:t>
    </w:r>
    <w:r>
      <w:rPr>
        <w:b w:val="0"/>
        <w:bCs w:val="0"/>
        <w:iCs/>
        <w:sz w:val="16"/>
        <w:szCs w:val="16"/>
      </w:rPr>
    </w:r>
    <w:r>
      <w:rPr>
        <w:b w:val="0"/>
        <w:bCs w:val="0"/>
        <w:iCs/>
        <w:sz w:val="16"/>
        <w:szCs w:val="16"/>
      </w:rPr>
    </w:r>
  </w:p>
  <w:p>
    <w:pPr>
      <w:pStyle w:val="1154"/>
      <w:ind w:left="-284" w:firstLine="180"/>
      <w:jc w:val="center"/>
      <w:tabs>
        <w:tab w:val="left" w:pos="986" w:leader="none"/>
        <w:tab w:val="center" w:pos="5197" w:leader="none"/>
      </w:tabs>
      <w:rPr>
        <w:sz w:val="16"/>
        <w:szCs w:val="16"/>
      </w:rPr>
      <w:outlineLvl w:val="0"/>
    </w:pPr>
    <w:r>
      <w:rPr>
        <w:b w:val="0"/>
        <w:bCs w:val="0"/>
        <w:sz w:val="16"/>
        <w:szCs w:val="16"/>
      </w:rPr>
      <w:t xml:space="preserve">стр. </w:t>
    </w:r>
    <w:r>
      <w:rPr>
        <w:b w:val="0"/>
        <w:bCs w:val="0"/>
        <w:sz w:val="16"/>
        <w:szCs w:val="16"/>
      </w:rPr>
      <w:fldChar w:fldCharType="begin"/>
    </w:r>
    <w:r>
      <w:rPr>
        <w:b w:val="0"/>
        <w:bCs w:val="0"/>
        <w:sz w:val="16"/>
        <w:szCs w:val="16"/>
      </w:rPr>
      <w:instrText xml:space="preserve"> PAGE </w:instrText>
    </w:r>
    <w:r>
      <w:rPr>
        <w:b w:val="0"/>
        <w:bCs w:val="0"/>
        <w:sz w:val="16"/>
        <w:szCs w:val="16"/>
      </w:rPr>
      <w:fldChar w:fldCharType="separate"/>
    </w:r>
    <w:r>
      <w:rPr>
        <w:b w:val="0"/>
        <w:bCs w:val="0"/>
        <w:sz w:val="16"/>
        <w:szCs w:val="16"/>
      </w:rPr>
      <w:t xml:space="preserve">3</w:t>
    </w:r>
    <w:r>
      <w:rPr>
        <w:b w:val="0"/>
        <w:bCs w:val="0"/>
        <w:sz w:val="16"/>
        <w:szCs w:val="16"/>
      </w:rPr>
      <w:fldChar w:fldCharType="end"/>
    </w:r>
    <w:r>
      <w:rPr>
        <w:b w:val="0"/>
        <w:bCs w:val="0"/>
        <w:sz w:val="16"/>
        <w:szCs w:val="16"/>
      </w:rPr>
      <w:t xml:space="preserve"> из </w:t>
    </w:r>
    <w:r>
      <w:rPr>
        <w:b w:val="0"/>
        <w:bCs w:val="0"/>
        <w:sz w:val="16"/>
        <w:szCs w:val="16"/>
      </w:rPr>
      <w:fldChar w:fldCharType="begin"/>
    </w:r>
    <w:r>
      <w:rPr>
        <w:b w:val="0"/>
        <w:bCs w:val="0"/>
        <w:sz w:val="16"/>
        <w:szCs w:val="16"/>
      </w:rPr>
      <w:instrText xml:space="preserve"> NUMPAGES </w:instrText>
    </w:r>
    <w:r>
      <w:rPr>
        <w:b w:val="0"/>
        <w:bCs w:val="0"/>
        <w:sz w:val="16"/>
        <w:szCs w:val="16"/>
      </w:rPr>
      <w:fldChar w:fldCharType="separate"/>
    </w:r>
    <w:r>
      <w:rPr>
        <w:b w:val="0"/>
        <w:bCs w:val="0"/>
        <w:sz w:val="16"/>
        <w:szCs w:val="16"/>
      </w:rPr>
      <w:t xml:space="preserve">3</w:t>
    </w:r>
    <w:r>
      <w:rPr>
        <w:b w:val="0"/>
        <w:bCs w:val="0"/>
        <w:sz w:val="16"/>
        <w:szCs w:val="16"/>
      </w:rPr>
      <w:fldChar w:fldCharType="end"/>
    </w:r>
    <w:r>
      <w:rPr>
        <w:b w:val="0"/>
        <w:bCs w:val="0"/>
        <w:sz w:val="16"/>
        <w:szCs w:val="16"/>
      </w:rPr>
    </w:r>
    <w:r>
      <w:rPr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4"/>
      <w:rPr>
        <w:rStyle w:val="1173"/>
      </w:rPr>
      <w:framePr w:wrap="around" w:vAnchor="text" w:hAnchor="margin" w:xAlign="center" w:y="1"/>
    </w:pPr>
    <w:r>
      <w:rPr>
        <w:rStyle w:val="1173"/>
      </w:rPr>
      <w:fldChar w:fldCharType="begin"/>
    </w:r>
    <w:r>
      <w:rPr>
        <w:rStyle w:val="1173"/>
      </w:rPr>
      <w:instrText xml:space="preserve">PAGE  </w:instrText>
    </w:r>
    <w:r>
      <w:rPr>
        <w:rStyle w:val="1173"/>
      </w:rPr>
      <w:fldChar w:fldCharType="end"/>
    </w:r>
    <w:r>
      <w:rPr>
        <w:rStyle w:val="1173"/>
      </w:rPr>
    </w:r>
    <w:r>
      <w:rPr>
        <w:rStyle w:val="1173"/>
      </w:rPr>
    </w:r>
  </w:p>
  <w:p>
    <w:pPr>
      <w:pStyle w:val="117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4"/>
      <w:jc w:val="center"/>
      <w:rPr>
        <w:sz w:val="18"/>
        <w:szCs w:val="18"/>
      </w:rPr>
    </w:pPr>
    <w:r>
      <w:rPr>
        <w:sz w:val="18"/>
        <w:szCs w:val="18"/>
      </w:rPr>
      <w:t xml:space="preserve">Протокол </w:t>
    </w:r>
    <w:r>
      <w:rPr>
        <w:sz w:val="18"/>
        <w:szCs w:val="18"/>
      </w:rPr>
      <w:t xml:space="preserve">от 18.07.2008 </w:t>
    </w:r>
    <w:r>
      <w:rPr>
        <w:sz w:val="18"/>
        <w:szCs w:val="18"/>
      </w:rPr>
      <w:t xml:space="preserve">№ </w:t>
    </w:r>
    <w:r>
      <w:rPr>
        <w:sz w:val="18"/>
        <w:szCs w:val="18"/>
      </w:rPr>
      <w:t xml:space="preserve">3/81784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1154"/>
      <w:ind w:right="-45"/>
      <w:jc w:val="center"/>
      <w:tabs>
        <w:tab w:val="left" w:pos="10080" w:leader="none"/>
      </w:tabs>
      <w:rPr>
        <w:sz w:val="18"/>
        <w:szCs w:val="18"/>
      </w:rPr>
    </w:pPr>
    <w:r>
      <w:rPr>
        <w:sz w:val="18"/>
        <w:szCs w:val="18"/>
      </w:rPr>
      <w:t xml:space="preserve">заочного заседания Закупочной комиссии по оценке Предложений и </w:t>
    </w:r>
    <w:r>
      <w:rPr>
        <w:sz w:val="18"/>
        <w:szCs w:val="18"/>
      </w:rPr>
      <w:t xml:space="preserve">подведению итогов</w:t>
    </w:r>
    <w:r>
      <w:rPr>
        <w:sz w:val="18"/>
        <w:szCs w:val="18"/>
      </w:rPr>
      <w:t xml:space="preserve"> открытого запроса предложений на право заключения </w:t>
    </w:r>
    <w:r>
      <w:rPr>
        <w:sz w:val="18"/>
        <w:szCs w:val="18"/>
      </w:rPr>
      <w:t xml:space="preserve">договора на выполнение подрядных работ по титулу: «Комплексная реконструкция и техническое перевооружение ПС 220 кВ "Волхов-Северная" в г. Санкт-Петербурге» для нужд филиала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1154"/>
      <w:ind w:right="-45"/>
      <w:jc w:val="center"/>
      <w:tabs>
        <w:tab w:val="left" w:pos="10080" w:leader="none"/>
      </w:tabs>
      <w:rPr>
        <w:sz w:val="18"/>
        <w:szCs w:val="18"/>
      </w:rPr>
    </w:pPr>
    <w:r>
      <w:rPr>
        <w:sz w:val="18"/>
        <w:szCs w:val="18"/>
      </w:rPr>
      <w:t xml:space="preserve">ОАО «ФСК ЕЭС» – МЭС Северо-Запада</w:t>
    </w:r>
    <w:r>
      <w:rPr>
        <w:sz w:val="18"/>
        <w:szCs w:val="18"/>
      </w:rPr>
      <w:t xml:space="preserve">.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1174"/>
      <w:jc w:val="center"/>
      <w:rPr>
        <w:sz w:val="18"/>
        <w:szCs w:val="18"/>
      </w:rPr>
    </w:pPr>
    <w:r>
      <w:rPr>
        <w:sz w:val="18"/>
        <w:szCs w:val="18"/>
      </w:rPr>
      <w:t xml:space="preserve">стр.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 xml:space="preserve">3</w:t>
    </w:r>
    <w:r>
      <w:rPr>
        <w:sz w:val="18"/>
        <w:szCs w:val="18"/>
      </w:rPr>
      <w:fldChar w:fldCharType="end"/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2"/>
      <w:rPr>
        <w:rStyle w:val="1173"/>
      </w:rPr>
      <w:framePr w:wrap="around" w:vAnchor="text" w:hAnchor="margin" w:xAlign="right" w:y="1"/>
    </w:pPr>
    <w:r>
      <w:rPr>
        <w:rStyle w:val="1173"/>
      </w:rPr>
    </w:r>
    <w:r>
      <w:rPr>
        <w:rStyle w:val="1173"/>
      </w:rPr>
    </w:r>
    <w:r>
      <w:rPr>
        <w:rStyle w:val="1173"/>
      </w:rPr>
    </w:r>
  </w:p>
  <w:p>
    <w:pPr>
      <w:pStyle w:val="1154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72"/>
      <w:rPr>
        <w:rStyle w:val="1173"/>
      </w:rPr>
      <w:framePr w:wrap="around" w:vAnchor="text" w:hAnchor="margin" w:xAlign="right" w:y="1"/>
    </w:pPr>
    <w:r>
      <w:rPr>
        <w:rStyle w:val="1173"/>
      </w:rPr>
      <w:fldChar w:fldCharType="begin"/>
    </w:r>
    <w:r>
      <w:rPr>
        <w:rStyle w:val="1173"/>
      </w:rPr>
      <w:instrText xml:space="preserve">PAGE  </w:instrText>
    </w:r>
    <w:r>
      <w:rPr>
        <w:rStyle w:val="1173"/>
      </w:rPr>
      <w:fldChar w:fldCharType="end"/>
    </w:r>
    <w:r>
      <w:rPr>
        <w:rStyle w:val="1173"/>
      </w:rPr>
    </w:r>
    <w:r>
      <w:rPr>
        <w:rStyle w:val="1173"/>
      </w:rPr>
    </w:r>
  </w:p>
  <w:p>
    <w:pPr>
      <w:pStyle w:val="1172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4"/>
      <w:numFmt w:val="upperRoman"/>
      <w:isLgl w:val="false"/>
      <w:suff w:val="tab"/>
      <w:lvlText w:val="%1."/>
      <w:lvlJc w:val="right"/>
      <w:pPr>
        <w:ind w:left="92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502" w:hanging="360"/>
      </w:pPr>
      <w:rPr>
        <w:rFonts w:cs="Times New Roman"/>
        <w:b/>
        <w:sz w:val="24"/>
        <w:szCs w:val="24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0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146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648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292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434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936" w:hanging="180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30" w:hanging="39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4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9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13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800" w:hanging="180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2"/>
      <w:numFmt w:val="decimal"/>
      <w:isLgl w:val="false"/>
      <w:suff w:val="tab"/>
      <w:lvlText w:val="%1.%2"/>
      <w:lvlJc w:val="left"/>
      <w:pPr>
        <w:ind w:left="1128" w:hanging="42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776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124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2832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31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3888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36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944" w:hanging="180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b/>
      </w:rPr>
    </w:lvl>
    <w:lvl w:ilvl="1">
      <w:start w:val="1"/>
      <w:numFmt w:val="decimal"/>
      <w:isLgl w:val="false"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72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2"/>
      <w:numFmt w:val="decimal"/>
      <w:isLgl w:val="false"/>
      <w:suff w:val="tab"/>
      <w:lvlText w:val="%1.%2"/>
      <w:lvlJc w:val="left"/>
      <w:pPr>
        <w:ind w:left="1128" w:hanging="42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776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124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2832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31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3888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36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944" w:hanging="180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906" w:hanging="48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12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278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704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77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2196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262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688" w:hanging="1800"/>
      </w:pPr>
    </w:lvl>
  </w:abstractNum>
  <w:abstractNum w:abstractNumId="2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644" w:hanging="360"/>
      </w:pPr>
      <w:rPr>
        <w:rFonts w:ascii="Times New Roman" w:hAnsi="Times New Roman" w:eastAsia="Times New Roman" w:cs="Times New Roman"/>
        <w:b w:val="0"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89" w:hanging="705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04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04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364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364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724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724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84" w:hanging="180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4.%1"/>
      <w:lvlJc w:val="left"/>
      <w:pPr>
        <w:ind w:left="107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9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1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3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5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7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9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1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30" w:hanging="180"/>
      </w:pPr>
    </w:lvl>
  </w:abstractNum>
  <w:abstractNum w:abstractNumId="26">
    <w:multiLevelType w:val="hybridMultilevel"/>
    <w:lvl w:ilvl="0">
      <w:start w:val="12"/>
      <w:numFmt w:val="decimal"/>
      <w:isLgl w:val="false"/>
      <w:suff w:val="tab"/>
      <w:lvlText w:val="%1."/>
      <w:lvlJc w:val="left"/>
      <w:pPr>
        <w:ind w:left="480" w:hanging="480"/>
      </w:pPr>
      <w:rPr>
        <w:color w:val="000000"/>
      </w:rPr>
    </w:lvl>
    <w:lvl w:ilvl="1">
      <w:start w:val="1"/>
      <w:numFmt w:val="decimal"/>
      <w:isLgl w:val="false"/>
      <w:suff w:val="tab"/>
      <w:lvlText w:val="%1.%2."/>
      <w:lvlJc w:val="left"/>
      <w:pPr>
        <w:ind w:left="840" w:hanging="48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4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80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52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8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60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96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680" w:hanging="1800"/>
      </w:pPr>
      <w:rPr>
        <w:color w:val="000000"/>
      </w:rPr>
    </w:lvl>
  </w:abstractNum>
  <w:abstractNum w:abstractNumId="27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502" w:hanging="360"/>
      </w:pPr>
      <w:rPr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b/>
      </w:rPr>
    </w:lvl>
    <w:lvl w:ilvl="1">
      <w:start w:val="1"/>
      <w:numFmt w:val="decimal"/>
      <w:isLgl w:val="false"/>
      <w:suff w:val="tab"/>
      <w:lvlText w:val="6.%2."/>
      <w:lvlJc w:val="left"/>
      <w:pPr>
        <w:ind w:left="742" w:hanging="600"/>
        <w:tabs>
          <w:tab w:val="num" w:pos="142" w:leader="none"/>
        </w:tabs>
      </w:pPr>
      <w:rPr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80" w:hanging="72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080" w:hanging="72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72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440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08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08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440"/>
        <w:tabs>
          <w:tab w:val="num" w:pos="0" w:leader="none"/>
        </w:tabs>
      </w:pPr>
    </w:lvl>
  </w:abstractNum>
  <w:abstractNum w:abstractNumId="2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570" w:hanging="360"/>
      </w:pPr>
      <w:rPr>
        <w:rFonts w:ascii="Times New Roman" w:hAnsi="Times New Roman" w:eastAsia="Times New Roman" w:cs="Times New Roman"/>
        <w:b w:val="0"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90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62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34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06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78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50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2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94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660" w:hanging="180"/>
      </w:pPr>
    </w:lvl>
  </w:abstractNum>
  <w:abstractNum w:abstractNumId="3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</w:rPr>
    </w:lvl>
    <w:lvl w:ilvl="2">
      <w:start w:val="8"/>
      <w:numFmt w:val="decimal"/>
      <w:isLgl w:val="false"/>
      <w:suff w:val="tab"/>
      <w:lvlText w:val="%3."/>
      <w:lvlJc w:val="left"/>
      <w:pPr>
        <w:ind w:left="2340" w:hanging="360"/>
        <w:tabs>
          <w:tab w:val="num" w:pos="2340" w:leader="none"/>
        </w:tabs>
      </w:pPr>
    </w:lvl>
    <w:lvl w:ilvl="3">
      <w:start w:val="1"/>
      <w:numFmt w:val="decimal"/>
      <w:isLgl w:val="false"/>
      <w:suff w:val="tab"/>
      <w:lvlText w:val="%4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ascii="Times New Roman" w:hAnsi="Times New Roman" w:eastAsia="Times New Roman"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417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77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77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137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137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97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97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57" w:hanging="1800"/>
      </w:pPr>
    </w:lvl>
  </w:abstractNum>
  <w:abstractNum w:abstractNumId="3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148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868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588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308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28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748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468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88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908" w:hanging="360"/>
      </w:pPr>
      <w:rPr>
        <w:rFonts w:ascii="Wingdings" w:hAnsi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5" w:hanging="915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2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37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4.%2."/>
      <w:lvlJc w:val="left"/>
      <w:pPr>
        <w:ind w:left="1070" w:hanging="360"/>
      </w:pPr>
      <w:rPr>
        <w:b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4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85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392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463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70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1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80" w:hanging="1800"/>
      </w:pPr>
    </w:lvl>
  </w:abstractNum>
  <w:abstractNum w:abstractNumId="3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  <w:rPr>
        <w:color w:val="000000"/>
      </w:rPr>
    </w:lvl>
    <w:lvl w:ilvl="1">
      <w:start w:val="2"/>
      <w:numFmt w:val="decimal"/>
      <w:isLgl w:val="false"/>
      <w:suff w:val="tab"/>
      <w:lvlText w:val="%1.%2."/>
      <w:lvlJc w:val="left"/>
      <w:pPr>
        <w:ind w:left="900" w:hanging="360"/>
      </w:pPr>
      <w:rPr>
        <w:color w:val="000000"/>
        <w:lang w:val="en-US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34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24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7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468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522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6120" w:hanging="1800"/>
      </w:pPr>
      <w:rPr>
        <w:color w:val="000000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36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42">
    <w:multiLevelType w:val="hybridMultilevel"/>
    <w:lvl w:ilvl="0">
      <w:start w:val="6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2"/>
      <w:numFmt w:val="decimal"/>
      <w:isLgl w:val="false"/>
      <w:suff w:val="tab"/>
      <w:lvlText w:val="%1.%2"/>
      <w:lvlJc w:val="left"/>
      <w:pPr>
        <w:ind w:left="1128" w:hanging="420"/>
      </w:pPr>
    </w:lvl>
    <w:lvl w:ilvl="2">
      <w:start w:val="1"/>
      <w:numFmt w:val="decimal"/>
      <w:isLgl w:val="false"/>
      <w:suff w:val="tab"/>
      <w:lvlText w:val="%1.%2.%3"/>
      <w:lvlJc w:val="left"/>
      <w:pPr>
        <w:ind w:left="1776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124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2832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31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3888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36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944" w:hanging="1800"/>
      </w:p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5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3"/>
      <w:numFmt w:val="decimal"/>
      <w:isLgl w:val="false"/>
      <w:suff w:val="tab"/>
      <w:lvlText w:val="%1.%2."/>
      <w:lvlJc w:val="left"/>
      <w:pPr>
        <w:ind w:left="360" w:hanging="360"/>
      </w:pPr>
      <w:rPr>
        <w:lang w:val="en-US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isLgl w:val="false"/>
      <w:suff w:val="tab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7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73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9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7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73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9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134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854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574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294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14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734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454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74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894" w:hanging="360"/>
      </w:pPr>
      <w:rPr>
        <w:rFonts w:hint="default" w:ascii="Wingdings" w:hAnsi="Wingdings" w:eastAsia="Wingdings" w:cs="Wingdings"/>
      </w:r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isLgl w:val="false"/>
      <w:suff w:val="tab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isLgl w:val="false"/>
      <w:suff w:val="tab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7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7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7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7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isLgl w:val="false"/>
      <w:suff w:val="tab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8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ascii="Times New Roman" w:hAnsi="Times New Roman" w:eastAsia="Times New Roman" w:cs="Times New Roman"/>
        <w:b/>
        <w:sz w:val="24"/>
        <w:szCs w:val="24"/>
      </w:rPr>
    </w:lvl>
    <w:lvl w:ilvl="1">
      <w:start w:val="1"/>
      <w:numFmt w:val="decimal"/>
      <w:isLgl w:val="false"/>
      <w:suff w:val="tab"/>
      <w:lvlText w:val="3.%2."/>
      <w:lvlJc w:val="left"/>
      <w:pPr>
        <w:ind w:left="915" w:hanging="705"/>
      </w:pPr>
      <w:rPr>
        <w:b/>
        <w:lang w:val="ru-RU"/>
      </w:rPr>
    </w:lvl>
    <w:lvl w:ilvl="2">
      <w:start w:val="1"/>
      <w:numFmt w:val="decimal"/>
      <w:isLgl w:val="false"/>
      <w:suff w:val="tab"/>
      <w:lvlText w:val="%1.%2.%3."/>
      <w:lvlJc w:val="left"/>
      <w:pPr>
        <w:ind w:left="93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93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29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29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65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65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010" w:hanging="1800"/>
      </w:pPr>
    </w:lvl>
  </w:abstractNum>
  <w:abstractNum w:abstractNumId="8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2"/>
  </w:num>
  <w:num w:numId="4">
    <w:abstractNumId w:val="5"/>
  </w:num>
  <w:num w:numId="5">
    <w:abstractNumId w:val="2"/>
  </w:num>
  <w:num w:numId="6">
    <w:abstractNumId w:val="25"/>
  </w:num>
  <w:num w:numId="7">
    <w:abstractNumId w:val="3"/>
  </w:num>
  <w:num w:numId="8">
    <w:abstractNumId w:val="33"/>
  </w:num>
  <w:num w:numId="9">
    <w:abstractNumId w:val="18"/>
  </w:num>
  <w:num w:numId="10">
    <w:abstractNumId w:val="34"/>
  </w:num>
  <w:num w:numId="11">
    <w:abstractNumId w:val="32"/>
  </w:num>
  <w:num w:numId="12">
    <w:abstractNumId w:val="0"/>
  </w:num>
  <w:num w:numId="13">
    <w:abstractNumId w:val="35"/>
  </w:num>
  <w:num w:numId="14">
    <w:abstractNumId w:val="11"/>
  </w:num>
  <w:num w:numId="15">
    <w:abstractNumId w:val="43"/>
  </w:num>
  <w:num w:numId="16">
    <w:abstractNumId w:val="37"/>
  </w:num>
  <w:num w:numId="17">
    <w:abstractNumId w:val="17"/>
  </w:num>
  <w:num w:numId="18">
    <w:abstractNumId w:val="41"/>
  </w:num>
  <w:num w:numId="19">
    <w:abstractNumId w:val="9"/>
  </w:num>
  <w:num w:numId="20">
    <w:abstractNumId w:val="40"/>
  </w:num>
  <w:num w:numId="21">
    <w:abstractNumId w:val="36"/>
  </w:num>
  <w:num w:numId="22">
    <w:abstractNumId w:val="8"/>
  </w:num>
  <w:num w:numId="23">
    <w:abstractNumId w:val="27"/>
  </w:num>
  <w:num w:numId="24">
    <w:abstractNumId w:val="13"/>
  </w:num>
  <w:num w:numId="25">
    <w:abstractNumId w:val="45"/>
  </w:num>
  <w:num w:numId="26">
    <w:abstractNumId w:val="30"/>
  </w:num>
  <w:num w:numId="27">
    <w:abstractNumId w:val="38"/>
  </w:num>
  <w:num w:numId="28">
    <w:abstractNumId w:val="1"/>
  </w:num>
  <w:num w:numId="29">
    <w:abstractNumId w:val="16"/>
  </w:num>
  <w:num w:numId="30">
    <w:abstractNumId w:val="21"/>
  </w:num>
  <w:num w:numId="31">
    <w:abstractNumId w:val="24"/>
  </w:num>
  <w:num w:numId="32">
    <w:abstractNumId w:val="7"/>
  </w:num>
  <w:num w:numId="33">
    <w:abstractNumId w:val="42"/>
  </w:num>
  <w:num w:numId="34">
    <w:abstractNumId w:val="20"/>
  </w:num>
  <w:num w:numId="35">
    <w:abstractNumId w:val="23"/>
  </w:num>
  <w:num w:numId="36">
    <w:abstractNumId w:val="22"/>
  </w:num>
  <w:num w:numId="37">
    <w:abstractNumId w:val="29"/>
  </w:num>
  <w:num w:numId="38">
    <w:abstractNumId w:val="15"/>
  </w:num>
  <w:num w:numId="39">
    <w:abstractNumId w:val="4"/>
  </w:num>
  <w:num w:numId="40">
    <w:abstractNumId w:val="26"/>
  </w:num>
  <w:num w:numId="41">
    <w:abstractNumId w:val="6"/>
  </w:num>
  <w:num w:numId="42">
    <w:abstractNumId w:val="14"/>
  </w:num>
  <w:num w:numId="43">
    <w:abstractNumId w:val="39"/>
  </w:num>
  <w:num w:numId="44">
    <w:abstractNumId w:val="10"/>
  </w:num>
  <w:num w:numId="45">
    <w:abstractNumId w:val="44"/>
  </w:num>
  <w:num w:numId="46">
    <w:abstractNumId w:val="19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977">
    <w:name w:val="Heading 1"/>
    <w:basedOn w:val="1154"/>
    <w:next w:val="1154"/>
    <w:link w:val="978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978">
    <w:name w:val="Heading 1 Char"/>
    <w:link w:val="977"/>
    <w:uiPriority w:val="9"/>
    <w:rPr>
      <w:rFonts w:ascii="Arial" w:hAnsi="Arial" w:eastAsia="Arial" w:cs="Arial"/>
      <w:sz w:val="40"/>
      <w:szCs w:val="40"/>
    </w:rPr>
  </w:style>
  <w:style w:type="paragraph" w:styleId="979">
    <w:name w:val="Heading 2"/>
    <w:basedOn w:val="1154"/>
    <w:next w:val="1154"/>
    <w:link w:val="98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980">
    <w:name w:val="Heading 2 Char"/>
    <w:link w:val="979"/>
    <w:uiPriority w:val="9"/>
    <w:rPr>
      <w:rFonts w:ascii="Arial" w:hAnsi="Arial" w:eastAsia="Arial" w:cs="Arial"/>
      <w:sz w:val="34"/>
    </w:rPr>
  </w:style>
  <w:style w:type="paragraph" w:styleId="981">
    <w:name w:val="Heading 3"/>
    <w:basedOn w:val="1154"/>
    <w:next w:val="1154"/>
    <w:link w:val="98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982">
    <w:name w:val="Heading 3 Char"/>
    <w:link w:val="981"/>
    <w:uiPriority w:val="9"/>
    <w:rPr>
      <w:rFonts w:ascii="Arial" w:hAnsi="Arial" w:eastAsia="Arial" w:cs="Arial"/>
      <w:sz w:val="30"/>
      <w:szCs w:val="30"/>
    </w:rPr>
  </w:style>
  <w:style w:type="paragraph" w:styleId="983">
    <w:name w:val="Heading 4"/>
    <w:basedOn w:val="1154"/>
    <w:next w:val="1154"/>
    <w:link w:val="98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984">
    <w:name w:val="Heading 4 Char"/>
    <w:link w:val="983"/>
    <w:uiPriority w:val="9"/>
    <w:rPr>
      <w:rFonts w:ascii="Arial" w:hAnsi="Arial" w:eastAsia="Arial" w:cs="Arial"/>
      <w:b/>
      <w:bCs/>
      <w:sz w:val="26"/>
      <w:szCs w:val="26"/>
    </w:rPr>
  </w:style>
  <w:style w:type="paragraph" w:styleId="985">
    <w:name w:val="Heading 5"/>
    <w:basedOn w:val="1154"/>
    <w:next w:val="1154"/>
    <w:link w:val="98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986">
    <w:name w:val="Heading 5 Char"/>
    <w:link w:val="985"/>
    <w:uiPriority w:val="9"/>
    <w:rPr>
      <w:rFonts w:ascii="Arial" w:hAnsi="Arial" w:eastAsia="Arial" w:cs="Arial"/>
      <w:b/>
      <w:bCs/>
      <w:sz w:val="24"/>
      <w:szCs w:val="24"/>
    </w:rPr>
  </w:style>
  <w:style w:type="paragraph" w:styleId="987">
    <w:name w:val="Heading 6"/>
    <w:basedOn w:val="1154"/>
    <w:next w:val="1154"/>
    <w:link w:val="98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988">
    <w:name w:val="Heading 6 Char"/>
    <w:link w:val="987"/>
    <w:uiPriority w:val="9"/>
    <w:rPr>
      <w:rFonts w:ascii="Arial" w:hAnsi="Arial" w:eastAsia="Arial" w:cs="Arial"/>
      <w:b/>
      <w:bCs/>
      <w:sz w:val="22"/>
      <w:szCs w:val="22"/>
    </w:rPr>
  </w:style>
  <w:style w:type="paragraph" w:styleId="989">
    <w:name w:val="Heading 7"/>
    <w:basedOn w:val="1154"/>
    <w:next w:val="1154"/>
    <w:link w:val="99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90">
    <w:name w:val="Heading 7 Char"/>
    <w:link w:val="98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991">
    <w:name w:val="Heading 8"/>
    <w:basedOn w:val="1154"/>
    <w:next w:val="1154"/>
    <w:link w:val="99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992">
    <w:name w:val="Heading 8 Char"/>
    <w:link w:val="991"/>
    <w:uiPriority w:val="9"/>
    <w:rPr>
      <w:rFonts w:ascii="Arial" w:hAnsi="Arial" w:eastAsia="Arial" w:cs="Arial"/>
      <w:i/>
      <w:iCs/>
      <w:sz w:val="22"/>
      <w:szCs w:val="22"/>
    </w:rPr>
  </w:style>
  <w:style w:type="paragraph" w:styleId="993">
    <w:name w:val="Heading 9"/>
    <w:basedOn w:val="1154"/>
    <w:next w:val="1154"/>
    <w:link w:val="99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994">
    <w:name w:val="Heading 9 Char"/>
    <w:link w:val="993"/>
    <w:uiPriority w:val="9"/>
    <w:rPr>
      <w:rFonts w:ascii="Arial" w:hAnsi="Arial" w:eastAsia="Arial" w:cs="Arial"/>
      <w:i/>
      <w:iCs/>
      <w:sz w:val="21"/>
      <w:szCs w:val="21"/>
    </w:rPr>
  </w:style>
  <w:style w:type="paragraph" w:styleId="995">
    <w:name w:val="List Paragraph"/>
    <w:basedOn w:val="1154"/>
    <w:uiPriority w:val="34"/>
    <w:qFormat/>
    <w:pPr>
      <w:contextualSpacing/>
      <w:ind w:left="720"/>
    </w:pPr>
  </w:style>
  <w:style w:type="paragraph" w:styleId="996">
    <w:name w:val="No Spacing"/>
    <w:uiPriority w:val="1"/>
    <w:qFormat/>
    <w:pPr>
      <w:spacing w:before="0" w:after="0" w:line="240" w:lineRule="auto"/>
    </w:pPr>
  </w:style>
  <w:style w:type="paragraph" w:styleId="997">
    <w:name w:val="Title"/>
    <w:basedOn w:val="1154"/>
    <w:next w:val="1154"/>
    <w:link w:val="1207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998">
    <w:name w:val="Subtitle"/>
    <w:basedOn w:val="1154"/>
    <w:next w:val="1154"/>
    <w:link w:val="999"/>
    <w:uiPriority w:val="11"/>
    <w:qFormat/>
    <w:pPr>
      <w:spacing w:before="200" w:after="200"/>
    </w:pPr>
    <w:rPr>
      <w:sz w:val="24"/>
      <w:szCs w:val="24"/>
    </w:rPr>
  </w:style>
  <w:style w:type="character" w:styleId="999">
    <w:name w:val="Subtitle Char"/>
    <w:link w:val="998"/>
    <w:uiPriority w:val="11"/>
    <w:rPr>
      <w:sz w:val="24"/>
      <w:szCs w:val="24"/>
    </w:rPr>
  </w:style>
  <w:style w:type="paragraph" w:styleId="1000">
    <w:name w:val="Quote"/>
    <w:basedOn w:val="1154"/>
    <w:next w:val="1154"/>
    <w:link w:val="1001"/>
    <w:uiPriority w:val="29"/>
    <w:qFormat/>
    <w:pPr>
      <w:ind w:left="720" w:right="720"/>
    </w:pPr>
    <w:rPr>
      <w:i/>
    </w:rPr>
  </w:style>
  <w:style w:type="character" w:styleId="1001">
    <w:name w:val="Quote Char"/>
    <w:link w:val="1000"/>
    <w:uiPriority w:val="29"/>
    <w:rPr>
      <w:i/>
    </w:rPr>
  </w:style>
  <w:style w:type="paragraph" w:styleId="1002">
    <w:name w:val="Intense Quote"/>
    <w:basedOn w:val="1154"/>
    <w:next w:val="1154"/>
    <w:link w:val="100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003">
    <w:name w:val="Intense Quote Char"/>
    <w:link w:val="1002"/>
    <w:uiPriority w:val="30"/>
    <w:rPr>
      <w:i/>
    </w:rPr>
  </w:style>
  <w:style w:type="paragraph" w:styleId="1004">
    <w:name w:val="Header"/>
    <w:basedOn w:val="1154"/>
    <w:link w:val="10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005">
    <w:name w:val="Header Char"/>
    <w:link w:val="1004"/>
    <w:uiPriority w:val="99"/>
  </w:style>
  <w:style w:type="paragraph" w:styleId="1006">
    <w:name w:val="Footer"/>
    <w:basedOn w:val="1154"/>
    <w:link w:val="10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007">
    <w:name w:val="Footer Char"/>
    <w:link w:val="1006"/>
    <w:uiPriority w:val="99"/>
  </w:style>
  <w:style w:type="paragraph" w:styleId="1008">
    <w:name w:val="Caption"/>
    <w:basedOn w:val="1154"/>
    <w:next w:val="1154"/>
    <w:link w:val="100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009">
    <w:name w:val="Caption Char"/>
    <w:link w:val="1008"/>
    <w:uiPriority w:val="35"/>
    <w:rPr>
      <w:b/>
      <w:bCs/>
      <w:color w:val="4f81bd" w:themeColor="accent1"/>
      <w:sz w:val="18"/>
      <w:szCs w:val="18"/>
    </w:rPr>
  </w:style>
  <w:style w:type="table" w:styleId="101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1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1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1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1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1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1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1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2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2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3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4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4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4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4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4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4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4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04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04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04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05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05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05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5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5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5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5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5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5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5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7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7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7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7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7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7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8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8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9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9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0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0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10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10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10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10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10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10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10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10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11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11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11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11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11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11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1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1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1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1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2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2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2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2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2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2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2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2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2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2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13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13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3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3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3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3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136">
    <w:name w:val="Hyperlink"/>
    <w:uiPriority w:val="99"/>
    <w:unhideWhenUsed/>
    <w:rPr>
      <w:color w:val="0000ff" w:themeColor="hyperlink"/>
      <w:u w:val="single"/>
    </w:rPr>
  </w:style>
  <w:style w:type="paragraph" w:styleId="1137">
    <w:name w:val="footnote text"/>
    <w:basedOn w:val="1154"/>
    <w:link w:val="1138"/>
    <w:uiPriority w:val="99"/>
    <w:semiHidden/>
    <w:unhideWhenUsed/>
    <w:pPr>
      <w:spacing w:after="40" w:line="240" w:lineRule="auto"/>
    </w:pPr>
    <w:rPr>
      <w:sz w:val="18"/>
    </w:rPr>
  </w:style>
  <w:style w:type="character" w:styleId="1138">
    <w:name w:val="Footnote Text Char"/>
    <w:link w:val="1137"/>
    <w:uiPriority w:val="99"/>
    <w:rPr>
      <w:sz w:val="18"/>
    </w:rPr>
  </w:style>
  <w:style w:type="character" w:styleId="1139">
    <w:name w:val="footnote reference"/>
    <w:uiPriority w:val="99"/>
    <w:unhideWhenUsed/>
    <w:rPr>
      <w:vertAlign w:val="superscript"/>
    </w:rPr>
  </w:style>
  <w:style w:type="paragraph" w:styleId="1140">
    <w:name w:val="endnote text"/>
    <w:basedOn w:val="1154"/>
    <w:link w:val="1141"/>
    <w:uiPriority w:val="99"/>
    <w:semiHidden/>
    <w:unhideWhenUsed/>
    <w:pPr>
      <w:spacing w:after="0" w:line="240" w:lineRule="auto"/>
    </w:pPr>
    <w:rPr>
      <w:sz w:val="20"/>
    </w:rPr>
  </w:style>
  <w:style w:type="character" w:styleId="1141">
    <w:name w:val="Endnote Text Char"/>
    <w:link w:val="1140"/>
    <w:uiPriority w:val="99"/>
    <w:rPr>
      <w:sz w:val="20"/>
    </w:rPr>
  </w:style>
  <w:style w:type="character" w:styleId="1142">
    <w:name w:val="endnote reference"/>
    <w:uiPriority w:val="99"/>
    <w:semiHidden/>
    <w:unhideWhenUsed/>
    <w:rPr>
      <w:vertAlign w:val="superscript"/>
    </w:rPr>
  </w:style>
  <w:style w:type="paragraph" w:styleId="1143">
    <w:name w:val="toc 1"/>
    <w:basedOn w:val="1154"/>
    <w:next w:val="1154"/>
    <w:uiPriority w:val="39"/>
    <w:unhideWhenUsed/>
    <w:pPr>
      <w:ind w:left="0" w:right="0" w:firstLine="0"/>
      <w:spacing w:after="57"/>
    </w:pPr>
  </w:style>
  <w:style w:type="paragraph" w:styleId="1144">
    <w:name w:val="toc 2"/>
    <w:basedOn w:val="1154"/>
    <w:next w:val="1154"/>
    <w:uiPriority w:val="39"/>
    <w:unhideWhenUsed/>
    <w:pPr>
      <w:ind w:left="283" w:right="0" w:firstLine="0"/>
      <w:spacing w:after="57"/>
    </w:pPr>
  </w:style>
  <w:style w:type="paragraph" w:styleId="1145">
    <w:name w:val="toc 3"/>
    <w:basedOn w:val="1154"/>
    <w:next w:val="1154"/>
    <w:uiPriority w:val="39"/>
    <w:unhideWhenUsed/>
    <w:pPr>
      <w:ind w:left="567" w:right="0" w:firstLine="0"/>
      <w:spacing w:after="57"/>
    </w:pPr>
  </w:style>
  <w:style w:type="paragraph" w:styleId="1146">
    <w:name w:val="toc 4"/>
    <w:basedOn w:val="1154"/>
    <w:next w:val="1154"/>
    <w:uiPriority w:val="39"/>
    <w:unhideWhenUsed/>
    <w:pPr>
      <w:ind w:left="850" w:right="0" w:firstLine="0"/>
      <w:spacing w:after="57"/>
    </w:pPr>
  </w:style>
  <w:style w:type="paragraph" w:styleId="1147">
    <w:name w:val="toc 5"/>
    <w:basedOn w:val="1154"/>
    <w:next w:val="1154"/>
    <w:uiPriority w:val="39"/>
    <w:unhideWhenUsed/>
    <w:pPr>
      <w:ind w:left="1134" w:right="0" w:firstLine="0"/>
      <w:spacing w:after="57"/>
    </w:pPr>
  </w:style>
  <w:style w:type="paragraph" w:styleId="1148">
    <w:name w:val="toc 6"/>
    <w:basedOn w:val="1154"/>
    <w:next w:val="1154"/>
    <w:uiPriority w:val="39"/>
    <w:unhideWhenUsed/>
    <w:pPr>
      <w:ind w:left="1417" w:right="0" w:firstLine="0"/>
      <w:spacing w:after="57"/>
    </w:pPr>
  </w:style>
  <w:style w:type="paragraph" w:styleId="1149">
    <w:name w:val="toc 7"/>
    <w:basedOn w:val="1154"/>
    <w:next w:val="1154"/>
    <w:uiPriority w:val="39"/>
    <w:unhideWhenUsed/>
    <w:pPr>
      <w:ind w:left="1701" w:right="0" w:firstLine="0"/>
      <w:spacing w:after="57"/>
    </w:pPr>
  </w:style>
  <w:style w:type="paragraph" w:styleId="1150">
    <w:name w:val="toc 8"/>
    <w:basedOn w:val="1154"/>
    <w:next w:val="1154"/>
    <w:uiPriority w:val="39"/>
    <w:unhideWhenUsed/>
    <w:pPr>
      <w:ind w:left="1984" w:right="0" w:firstLine="0"/>
      <w:spacing w:after="57"/>
    </w:pPr>
  </w:style>
  <w:style w:type="paragraph" w:styleId="1151">
    <w:name w:val="toc 9"/>
    <w:basedOn w:val="1154"/>
    <w:next w:val="1154"/>
    <w:uiPriority w:val="39"/>
    <w:unhideWhenUsed/>
    <w:pPr>
      <w:ind w:left="2268" w:right="0" w:firstLine="0"/>
      <w:spacing w:after="57"/>
    </w:pPr>
  </w:style>
  <w:style w:type="paragraph" w:styleId="1152">
    <w:name w:val="TOC Heading"/>
    <w:uiPriority w:val="39"/>
    <w:unhideWhenUsed/>
  </w:style>
  <w:style w:type="paragraph" w:styleId="1153">
    <w:name w:val="table of figures"/>
    <w:basedOn w:val="1154"/>
    <w:next w:val="1154"/>
    <w:uiPriority w:val="99"/>
    <w:unhideWhenUsed/>
    <w:pPr>
      <w:spacing w:after="0" w:afterAutospacing="0"/>
    </w:pPr>
  </w:style>
  <w:style w:type="paragraph" w:styleId="1154" w:default="1">
    <w:name w:val="Normal"/>
    <w:next w:val="1154"/>
    <w:link w:val="1154"/>
    <w:qFormat/>
    <w:rPr>
      <w:sz w:val="24"/>
      <w:szCs w:val="24"/>
      <w:lang w:val="ru-RU" w:eastAsia="ru-RU" w:bidi="ar-SA"/>
    </w:rPr>
  </w:style>
  <w:style w:type="paragraph" w:styleId="1155">
    <w:name w:val="Заголовок 1"/>
    <w:basedOn w:val="1154"/>
    <w:next w:val="1154"/>
    <w:link w:val="1154"/>
    <w:qFormat/>
    <w:pPr>
      <w:keepNext/>
      <w:outlineLvl w:val="0"/>
    </w:pPr>
    <w:rPr>
      <w:sz w:val="28"/>
    </w:rPr>
  </w:style>
  <w:style w:type="paragraph" w:styleId="1156">
    <w:name w:val="Заголовок 2"/>
    <w:basedOn w:val="1154"/>
    <w:next w:val="1154"/>
    <w:link w:val="1154"/>
    <w:qFormat/>
    <w:pPr>
      <w:jc w:val="center"/>
      <w:keepNext/>
      <w:outlineLvl w:val="1"/>
    </w:pPr>
    <w:rPr>
      <w:rFonts w:ascii="Times New Roman CYR" w:hAnsi="Times New Roman CYR"/>
      <w:b/>
      <w:bCs/>
      <w:sz w:val="28"/>
      <w:szCs w:val="20"/>
    </w:rPr>
  </w:style>
  <w:style w:type="paragraph" w:styleId="1157">
    <w:name w:val="Заголовок 3"/>
    <w:basedOn w:val="1154"/>
    <w:next w:val="1154"/>
    <w:link w:val="1206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1158">
    <w:name w:val="Заголовок 5"/>
    <w:basedOn w:val="1154"/>
    <w:next w:val="1154"/>
    <w:link w:val="1216"/>
    <w:uiPriority w:val="99"/>
    <w:qFormat/>
    <w:pPr>
      <w:keepNext/>
      <w:outlineLvl w:val="4"/>
    </w:pPr>
    <w:rPr>
      <w:b/>
      <w:bCs/>
      <w:szCs w:val="20"/>
      <w:lang w:val="en-US" w:eastAsia="en-US"/>
    </w:rPr>
  </w:style>
  <w:style w:type="paragraph" w:styleId="1159">
    <w:name w:val="Заголовок 6"/>
    <w:basedOn w:val="1154"/>
    <w:next w:val="1154"/>
    <w:link w:val="1154"/>
    <w:qFormat/>
    <w:pPr>
      <w:keepNext/>
      <w:spacing w:line="360" w:lineRule="auto"/>
      <w:outlineLvl w:val="5"/>
    </w:pPr>
    <w:rPr>
      <w:szCs w:val="20"/>
    </w:rPr>
  </w:style>
  <w:style w:type="paragraph" w:styleId="1160">
    <w:name w:val="Заголовок 9"/>
    <w:basedOn w:val="1154"/>
    <w:next w:val="1154"/>
    <w:link w:val="1217"/>
    <w:uiPriority w:val="99"/>
    <w:qFormat/>
    <w:pPr>
      <w:jc w:val="center"/>
      <w:keepNext/>
      <w:outlineLvl w:val="8"/>
    </w:pPr>
    <w:rPr>
      <w:szCs w:val="20"/>
      <w:lang w:val="en-US" w:eastAsia="en-US"/>
    </w:rPr>
  </w:style>
  <w:style w:type="character" w:styleId="1161">
    <w:name w:val="Основной шрифт абзаца"/>
    <w:next w:val="1161"/>
    <w:link w:val="1154"/>
    <w:semiHidden/>
  </w:style>
  <w:style w:type="table" w:styleId="1162">
    <w:name w:val="Обычная таблица"/>
    <w:next w:val="1162"/>
    <w:link w:val="1154"/>
    <w:semiHidden/>
    <w:tblPr/>
  </w:style>
  <w:style w:type="numbering" w:styleId="1163">
    <w:name w:val="Нет списка"/>
    <w:next w:val="1163"/>
    <w:link w:val="1154"/>
    <w:semiHidden/>
  </w:style>
  <w:style w:type="paragraph" w:styleId="1164">
    <w:name w:val="Название,Знак6"/>
    <w:basedOn w:val="1154"/>
    <w:next w:val="1164"/>
    <w:link w:val="1203"/>
    <w:qFormat/>
    <w:pPr>
      <w:jc w:val="center"/>
    </w:pPr>
    <w:rPr>
      <w:b/>
      <w:sz w:val="22"/>
      <w:szCs w:val="20"/>
    </w:rPr>
  </w:style>
  <w:style w:type="character" w:styleId="1165">
    <w:name w:val="Гиперссылка"/>
    <w:next w:val="1165"/>
    <w:link w:val="1154"/>
    <w:rPr>
      <w:color w:val="0000ff"/>
      <w:u w:val="single"/>
    </w:rPr>
  </w:style>
  <w:style w:type="paragraph" w:styleId="1166">
    <w:name w:val="xl34"/>
    <w:basedOn w:val="1154"/>
    <w:next w:val="1166"/>
    <w:link w:val="1154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1167">
    <w:name w:val="Основной текст 3"/>
    <w:basedOn w:val="1154"/>
    <w:next w:val="1167"/>
    <w:link w:val="1214"/>
    <w:pPr>
      <w:jc w:val="both"/>
    </w:pPr>
    <w:rPr>
      <w:sz w:val="26"/>
      <w:szCs w:val="20"/>
      <w:lang w:val="en-US" w:eastAsia="en-US"/>
    </w:rPr>
  </w:style>
  <w:style w:type="paragraph" w:styleId="1168">
    <w:name w:val="Основной текст с отступом"/>
    <w:basedOn w:val="1154"/>
    <w:next w:val="1168"/>
    <w:link w:val="1211"/>
    <w:pPr>
      <w:ind w:left="567"/>
      <w:jc w:val="both"/>
    </w:pPr>
    <w:rPr>
      <w:szCs w:val="20"/>
      <w:lang w:val="en-US" w:eastAsia="en-US"/>
    </w:rPr>
  </w:style>
  <w:style w:type="paragraph" w:styleId="1169">
    <w:name w:val="xl27"/>
    <w:basedOn w:val="1154"/>
    <w:next w:val="1169"/>
    <w:link w:val="1154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1170">
    <w:name w:val="Normal1"/>
    <w:next w:val="1170"/>
    <w:link w:val="1154"/>
    <w:pPr>
      <w:spacing w:before="100" w:after="100"/>
    </w:pPr>
    <w:rPr>
      <w:sz w:val="24"/>
      <w:lang w:val="ru-RU" w:eastAsia="ru-RU" w:bidi="ar-SA"/>
    </w:rPr>
  </w:style>
  <w:style w:type="paragraph" w:styleId="1171">
    <w:name w:val="Основной текст,Основной текст таблиц,в таблице,таблицы,в таблицах, в таблице, в таблицах"/>
    <w:basedOn w:val="1154"/>
    <w:next w:val="1171"/>
    <w:link w:val="1154"/>
    <w:rPr>
      <w:sz w:val="28"/>
    </w:rPr>
  </w:style>
  <w:style w:type="paragraph" w:styleId="1172">
    <w:name w:val="Верхний колонтитул,Знак23, Знак23"/>
    <w:basedOn w:val="1154"/>
    <w:next w:val="1172"/>
    <w:link w:val="1200"/>
    <w:pPr>
      <w:tabs>
        <w:tab w:val="center" w:pos="4677" w:leader="none"/>
        <w:tab w:val="right" w:pos="9355" w:leader="none"/>
      </w:tabs>
    </w:pPr>
    <w:rPr>
      <w:rFonts w:ascii="Times New Roman CYR" w:hAnsi="Times New Roman CYR"/>
      <w:sz w:val="20"/>
      <w:szCs w:val="20"/>
      <w:lang w:val="en-US" w:eastAsia="en-US"/>
    </w:rPr>
  </w:style>
  <w:style w:type="character" w:styleId="1173">
    <w:name w:val="Номер страницы"/>
    <w:basedOn w:val="1161"/>
    <w:next w:val="1173"/>
    <w:link w:val="1154"/>
  </w:style>
  <w:style w:type="paragraph" w:styleId="1174">
    <w:name w:val="Нижний колонтитул"/>
    <w:basedOn w:val="1154"/>
    <w:next w:val="1174"/>
    <w:link w:val="1154"/>
    <w:pPr>
      <w:tabs>
        <w:tab w:val="center" w:pos="4677" w:leader="none"/>
        <w:tab w:val="right" w:pos="9355" w:leader="none"/>
      </w:tabs>
    </w:pPr>
  </w:style>
  <w:style w:type="paragraph" w:styleId="1175">
    <w:name w:val="Основной текст 2"/>
    <w:basedOn w:val="1154"/>
    <w:next w:val="1175"/>
    <w:link w:val="1154"/>
    <w:pPr>
      <w:jc w:val="center"/>
    </w:pPr>
  </w:style>
  <w:style w:type="paragraph" w:styleId="1176">
    <w:name w:val="Нумерованный список"/>
    <w:basedOn w:val="1154"/>
    <w:next w:val="1176"/>
    <w:link w:val="1154"/>
    <w:uiPriority w:val="99"/>
    <w:pPr>
      <w:jc w:val="both"/>
      <w:spacing w:before="60" w:line="360" w:lineRule="auto"/>
      <w:tabs>
        <w:tab w:val="num" w:pos="360" w:leader="none"/>
      </w:tabs>
    </w:pPr>
    <w:rPr>
      <w:sz w:val="28"/>
      <w:szCs w:val="28"/>
    </w:rPr>
  </w:style>
  <w:style w:type="paragraph" w:styleId="1177">
    <w:name w:val="Times 12"/>
    <w:basedOn w:val="1154"/>
    <w:next w:val="1177"/>
    <w:link w:val="1154"/>
    <w:pPr>
      <w:ind w:firstLine="567"/>
      <w:jc w:val="both"/>
    </w:pPr>
    <w:rPr>
      <w:szCs w:val="20"/>
    </w:rPr>
  </w:style>
  <w:style w:type="paragraph" w:styleId="1178">
    <w:name w:val="Цитата"/>
    <w:basedOn w:val="1154"/>
    <w:next w:val="1178"/>
    <w:link w:val="1154"/>
    <w:uiPriority w:val="99"/>
    <w:pPr>
      <w:ind w:left="-108" w:right="-108"/>
      <w:jc w:val="center"/>
    </w:pPr>
    <w:rPr>
      <w:sz w:val="26"/>
    </w:rPr>
  </w:style>
  <w:style w:type="paragraph" w:styleId="1179">
    <w:name w:val="Текст выноски"/>
    <w:basedOn w:val="1154"/>
    <w:next w:val="1179"/>
    <w:link w:val="1154"/>
    <w:semiHidden/>
    <w:rPr>
      <w:rFonts w:ascii="Tahoma" w:hAnsi="Tahoma" w:cs="Tahoma"/>
      <w:sz w:val="16"/>
      <w:szCs w:val="16"/>
    </w:rPr>
  </w:style>
  <w:style w:type="character" w:styleId="1180">
    <w:name w:val="комментарий"/>
    <w:next w:val="1180"/>
    <w:link w:val="1154"/>
    <w:rPr>
      <w:b/>
      <w:bCs/>
      <w:i/>
      <w:iCs/>
      <w:shd w:val="clear" w:color="auto" w:fill="ffff99"/>
    </w:rPr>
  </w:style>
  <w:style w:type="paragraph" w:styleId="1181">
    <w:name w:val="Основной текст с отступом 2"/>
    <w:basedOn w:val="1154"/>
    <w:next w:val="1181"/>
    <w:link w:val="1154"/>
    <w:pPr>
      <w:ind w:left="-180"/>
      <w:jc w:val="center"/>
      <w:widowControl w:val="off"/>
    </w:pPr>
    <w:rPr>
      <w:sz w:val="28"/>
      <w:szCs w:val="20"/>
    </w:rPr>
  </w:style>
  <w:style w:type="paragraph" w:styleId="1182">
    <w:name w:val="Основной текст с отступом 3"/>
    <w:basedOn w:val="1154"/>
    <w:next w:val="1182"/>
    <w:link w:val="1154"/>
    <w:pPr>
      <w:ind w:left="283"/>
      <w:spacing w:after="120"/>
    </w:pPr>
    <w:rPr>
      <w:sz w:val="16"/>
      <w:szCs w:val="16"/>
    </w:rPr>
  </w:style>
  <w:style w:type="paragraph" w:styleId="1183">
    <w:name w:val="Текст примечания"/>
    <w:basedOn w:val="1154"/>
    <w:next w:val="1183"/>
    <w:link w:val="1154"/>
    <w:semiHidden/>
    <w:rPr>
      <w:sz w:val="20"/>
      <w:szCs w:val="20"/>
    </w:rPr>
  </w:style>
  <w:style w:type="paragraph" w:styleId="1184">
    <w:name w:val=" Знак Знак Знак1 Знак Знак Знак Знак Знак Знак Знак"/>
    <w:basedOn w:val="1154"/>
    <w:next w:val="1184"/>
    <w:link w:val="115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85">
    <w:name w:val="Default Paragraph Font Para Char Char Знак Знак Знак Знак"/>
    <w:basedOn w:val="1154"/>
    <w:next w:val="1185"/>
    <w:link w:val="115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86">
    <w:name w:val="Схема документа"/>
    <w:basedOn w:val="1154"/>
    <w:next w:val="1186"/>
    <w:link w:val="1233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87">
    <w:name w:val="Знак Знак Знак1 Знак Знак Знак Знак Знак Знак Знак"/>
    <w:basedOn w:val="1154"/>
    <w:next w:val="1187"/>
    <w:link w:val="115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table" w:styleId="1188">
    <w:name w:val="Сетка таблицы"/>
    <w:basedOn w:val="1162"/>
    <w:next w:val="1188"/>
    <w:link w:val="1154"/>
    <w:tblPr/>
  </w:style>
  <w:style w:type="paragraph" w:styleId="1189">
    <w:name w:val="Обычный1"/>
    <w:next w:val="1189"/>
    <w:link w:val="1154"/>
    <w:pPr>
      <w:ind w:firstLine="567"/>
      <w:jc w:val="both"/>
      <w:spacing w:before="120" w:after="120"/>
      <w:widowControl w:val="off"/>
    </w:pPr>
    <w:rPr>
      <w:szCs w:val="24"/>
      <w:lang w:val="ru-RU" w:eastAsia="ru-RU" w:bidi="ar-SA"/>
    </w:rPr>
  </w:style>
  <w:style w:type="paragraph" w:styleId="1190">
    <w:name w:val=" Знак"/>
    <w:basedOn w:val="1154"/>
    <w:next w:val="1190"/>
    <w:link w:val="115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91">
    <w:name w:val="1 Знак"/>
    <w:basedOn w:val="1154"/>
    <w:next w:val="1191"/>
    <w:link w:val="115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92">
    <w:name w:val="Body Text Indent"/>
    <w:basedOn w:val="1154"/>
    <w:next w:val="1192"/>
    <w:link w:val="1154"/>
    <w:pPr>
      <w:jc w:val="both"/>
    </w:pPr>
  </w:style>
  <w:style w:type="paragraph" w:styleId="1193">
    <w:name w:val="Пункт"/>
    <w:basedOn w:val="1154"/>
    <w:next w:val="1193"/>
    <w:link w:val="1154"/>
    <w:pPr>
      <w:jc w:val="both"/>
      <w:spacing w:line="360" w:lineRule="auto"/>
      <w:tabs>
        <w:tab w:val="num" w:pos="360" w:leader="none"/>
      </w:tabs>
    </w:pPr>
    <w:rPr>
      <w:sz w:val="28"/>
      <w:szCs w:val="20"/>
    </w:rPr>
  </w:style>
  <w:style w:type="paragraph" w:styleId="1194">
    <w:name w:val="Знак Знак Знак1"/>
    <w:basedOn w:val="1154"/>
    <w:next w:val="1194"/>
    <w:link w:val="1161"/>
    <w:pPr>
      <w:spacing w:after="160" w:line="240" w:lineRule="exact"/>
      <w:tabs>
        <w:tab w:val="num" w:pos="360" w:leader="none"/>
      </w:tabs>
    </w:pPr>
    <w:rPr>
      <w:rFonts w:ascii="Verdana" w:hAnsi="Verdana" w:cs="Verdana"/>
      <w:sz w:val="20"/>
      <w:szCs w:val="20"/>
      <w:lang w:val="en-US" w:eastAsia="en-US"/>
    </w:rPr>
  </w:style>
  <w:style w:type="paragraph" w:styleId="1195">
    <w:name w:val="Знак1"/>
    <w:basedOn w:val="1154"/>
    <w:next w:val="1195"/>
    <w:link w:val="115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196">
    <w:name w:val="Обычный (веб)"/>
    <w:basedOn w:val="1154"/>
    <w:next w:val="1196"/>
    <w:link w:val="1154"/>
    <w:pPr>
      <w:spacing w:before="100" w:beforeAutospacing="1" w:after="100" w:afterAutospacing="1"/>
    </w:pPr>
  </w:style>
  <w:style w:type="character" w:styleId="1197">
    <w:name w:val="Знак примечания"/>
    <w:next w:val="1197"/>
    <w:link w:val="1154"/>
    <w:semiHidden/>
    <w:rPr>
      <w:sz w:val="16"/>
      <w:szCs w:val="16"/>
    </w:rPr>
  </w:style>
  <w:style w:type="paragraph" w:styleId="1198">
    <w:name w:val="Тема примечания"/>
    <w:basedOn w:val="1183"/>
    <w:next w:val="1183"/>
    <w:link w:val="1154"/>
    <w:semiHidden/>
    <w:rPr>
      <w:b/>
      <w:bCs/>
    </w:rPr>
  </w:style>
  <w:style w:type="paragraph" w:styleId="1199">
    <w:name w:val=" Знак1 Знак Знак Знак Знак Знак Знак"/>
    <w:basedOn w:val="1154"/>
    <w:next w:val="1199"/>
    <w:link w:val="1154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character" w:styleId="1200">
    <w:name w:val="Верхний колонтитул Знак,Знак23 Знак, Знак23 Знак"/>
    <w:next w:val="1200"/>
    <w:link w:val="1172"/>
    <w:rPr>
      <w:rFonts w:ascii="Times New Roman CYR" w:hAnsi="Times New Roman CYR"/>
    </w:rPr>
  </w:style>
  <w:style w:type="paragraph" w:styleId="1201">
    <w:name w:val=" Знак Знак Знак Знак Знак Знак Знак Знак Знак Знак Знак Знак Знак Знак Знак Знак Знак Знак1 Знак Знак Знак Знак Знак Знак Знак"/>
    <w:basedOn w:val="1154"/>
    <w:next w:val="1201"/>
    <w:link w:val="115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202">
    <w:name w:val=" Знак Знак5"/>
    <w:next w:val="1202"/>
    <w:link w:val="1154"/>
    <w:semiHidden/>
    <w:rPr>
      <w:rFonts w:ascii="Times New Roman CYR" w:hAnsi="Times New Roman CYR"/>
      <w:lang w:val="ru-RU" w:eastAsia="ru-RU" w:bidi="ar-SA"/>
    </w:rPr>
  </w:style>
  <w:style w:type="character" w:styleId="1203">
    <w:name w:val="Название Знак,Знак6 Знак"/>
    <w:next w:val="1203"/>
    <w:link w:val="1164"/>
    <w:rPr>
      <w:b/>
      <w:sz w:val="22"/>
      <w:lang w:val="ru-RU" w:eastAsia="ru-RU" w:bidi="ar-SA"/>
    </w:rPr>
  </w:style>
  <w:style w:type="character" w:styleId="1204">
    <w:name w:val=" Знак Знак1"/>
    <w:next w:val="1204"/>
    <w:link w:val="1154"/>
    <w:rPr>
      <w:b/>
      <w:sz w:val="22"/>
      <w:lang w:val="ru-RU" w:eastAsia="ru-RU" w:bidi="ar-SA"/>
    </w:rPr>
  </w:style>
  <w:style w:type="paragraph" w:styleId="1205">
    <w:name w:val="FR1"/>
    <w:next w:val="1205"/>
    <w:link w:val="1154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character" w:styleId="1206">
    <w:name w:val="Заголовок 3 Знак"/>
    <w:next w:val="1206"/>
    <w:link w:val="1157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styleId="1207">
    <w:name w:val="Title Char"/>
    <w:next w:val="1207"/>
    <w:link w:val="1154"/>
    <w:rPr>
      <w:sz w:val="28"/>
      <w:szCs w:val="24"/>
      <w:lang w:val="ru-RU" w:eastAsia="ru-RU" w:bidi="ar-SA"/>
    </w:rPr>
  </w:style>
  <w:style w:type="paragraph" w:styleId="1208">
    <w:name w:val="Знак1 Знак Знак Знак Знак Знак Знак"/>
    <w:basedOn w:val="1154"/>
    <w:next w:val="1208"/>
    <w:link w:val="1154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1209">
    <w:name w:val="Абзац списка,Абзац,Абзац списка ПОС,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"/>
    <w:basedOn w:val="1154"/>
    <w:next w:val="1209"/>
    <w:link w:val="1226"/>
    <w:uiPriority w:val="34"/>
    <w:qFormat/>
    <w:pPr>
      <w:ind w:left="708"/>
    </w:pPr>
  </w:style>
  <w:style w:type="paragraph" w:styleId="1210">
    <w:name w:val="Документ"/>
    <w:basedOn w:val="1154"/>
    <w:next w:val="1210"/>
    <w:link w:val="1154"/>
    <w:pPr>
      <w:ind w:firstLine="720"/>
      <w:jc w:val="both"/>
    </w:pPr>
    <w:rPr>
      <w:sz w:val="20"/>
    </w:rPr>
  </w:style>
  <w:style w:type="character" w:styleId="1211">
    <w:name w:val="Основной текст с отступом Знак"/>
    <w:next w:val="1211"/>
    <w:link w:val="1168"/>
    <w:rPr>
      <w:sz w:val="24"/>
    </w:rPr>
  </w:style>
  <w:style w:type="paragraph" w:styleId="1212">
    <w:name w:val="Ариал"/>
    <w:basedOn w:val="1154"/>
    <w:next w:val="1212"/>
    <w:link w:val="1213"/>
    <w:pPr>
      <w:ind w:firstLine="851"/>
      <w:jc w:val="both"/>
      <w:spacing w:before="120" w:after="120" w:line="360" w:lineRule="auto"/>
      <w:widowControl w:val="off"/>
    </w:pPr>
    <w:rPr>
      <w:rFonts w:ascii="Arial" w:hAnsi="Arial" w:cs="Arial"/>
    </w:rPr>
  </w:style>
  <w:style w:type="character" w:styleId="1213">
    <w:name w:val="Ариал Знак"/>
    <w:next w:val="1213"/>
    <w:link w:val="1212"/>
    <w:rPr>
      <w:rFonts w:ascii="Arial" w:hAnsi="Arial" w:cs="Arial"/>
      <w:sz w:val="24"/>
      <w:szCs w:val="24"/>
      <w:lang w:val="ru-RU" w:eastAsia="ru-RU" w:bidi="ar-SA"/>
    </w:rPr>
  </w:style>
  <w:style w:type="character" w:styleId="1214">
    <w:name w:val="Основной текст 3 Знак"/>
    <w:next w:val="1214"/>
    <w:link w:val="1167"/>
    <w:rPr>
      <w:sz w:val="26"/>
    </w:rPr>
  </w:style>
  <w:style w:type="paragraph" w:styleId="1215">
    <w:name w:val="Оглавление 3"/>
    <w:basedOn w:val="1154"/>
    <w:next w:val="1154"/>
    <w:link w:val="1154"/>
    <w:pPr>
      <w:ind w:right="-66" w:firstLine="11"/>
      <w:jc w:val="center"/>
    </w:pPr>
    <w:rPr>
      <w:b/>
    </w:rPr>
  </w:style>
  <w:style w:type="character" w:styleId="1216">
    <w:name w:val="Заголовок 5 Знак"/>
    <w:next w:val="1216"/>
    <w:link w:val="1158"/>
    <w:uiPriority w:val="99"/>
    <w:rPr>
      <w:b/>
      <w:bCs/>
      <w:sz w:val="24"/>
    </w:rPr>
  </w:style>
  <w:style w:type="character" w:styleId="1217">
    <w:name w:val="Заголовок 9 Знак"/>
    <w:next w:val="1217"/>
    <w:link w:val="1160"/>
    <w:uiPriority w:val="99"/>
    <w:rPr>
      <w:sz w:val="24"/>
    </w:rPr>
  </w:style>
  <w:style w:type="character" w:styleId="1218">
    <w:name w:val="WW8Num12z1"/>
    <w:next w:val="1218"/>
    <w:link w:val="1154"/>
    <w:rPr>
      <w:b/>
    </w:rPr>
  </w:style>
  <w:style w:type="paragraph" w:styleId="1219">
    <w:name w:val="Основной текст с отступом 21"/>
    <w:basedOn w:val="1154"/>
    <w:next w:val="1219"/>
    <w:link w:val="1154"/>
    <w:pPr>
      <w:ind w:left="-180"/>
      <w:jc w:val="center"/>
      <w:widowControl w:val="off"/>
    </w:pPr>
    <w:rPr>
      <w:sz w:val="28"/>
      <w:szCs w:val="20"/>
      <w:lang w:eastAsia="zh-CN"/>
    </w:rPr>
  </w:style>
  <w:style w:type="character" w:styleId="1220">
    <w:name w:val="WW8Num11z0"/>
    <w:next w:val="1220"/>
    <w:link w:val="1154"/>
    <w:rPr>
      <w:b/>
    </w:rPr>
  </w:style>
  <w:style w:type="paragraph" w:styleId="1221">
    <w:name w:val="Основной текст 31"/>
    <w:basedOn w:val="1154"/>
    <w:next w:val="1221"/>
    <w:link w:val="1154"/>
    <w:pPr>
      <w:jc w:val="both"/>
    </w:pPr>
    <w:rPr>
      <w:sz w:val="26"/>
      <w:szCs w:val="20"/>
      <w:lang w:val="en-US" w:eastAsia="zh-CN"/>
    </w:rPr>
  </w:style>
  <w:style w:type="character" w:styleId="1222">
    <w:name w:val="Знак6 Знак Знак"/>
    <w:next w:val="1222"/>
    <w:link w:val="1154"/>
    <w:rPr>
      <w:b/>
      <w:sz w:val="22"/>
      <w:lang w:val="ru-RU" w:eastAsia="ru-RU" w:bidi="ar-SA"/>
    </w:rPr>
  </w:style>
  <w:style w:type="paragraph" w:styleId="1223">
    <w:name w:val="Текст примечания1"/>
    <w:basedOn w:val="1154"/>
    <w:next w:val="1223"/>
    <w:link w:val="1154"/>
    <w:rPr>
      <w:sz w:val="20"/>
      <w:szCs w:val="20"/>
      <w:lang w:eastAsia="zh-CN"/>
    </w:rPr>
  </w:style>
  <w:style w:type="character" w:styleId="1224">
    <w:name w:val="WW8Num3z0"/>
    <w:next w:val="1224"/>
    <w:link w:val="1154"/>
    <w:rPr>
      <w:rFonts w:ascii="Times New Roman" w:hAnsi="Times New Roman" w:cs="Times New Roman"/>
    </w:rPr>
  </w:style>
  <w:style w:type="paragraph" w:styleId="1225">
    <w:name w:val="Таблица текст"/>
    <w:basedOn w:val="1154"/>
    <w:next w:val="1225"/>
    <w:link w:val="1154"/>
    <w:pPr>
      <w:ind w:left="57" w:right="57"/>
      <w:spacing w:before="40" w:after="40"/>
    </w:pPr>
  </w:style>
  <w:style w:type="character" w:styleId="1226">
    <w:name w:val="Абзац списка Знак,Абзац Знак,Абзац списка ПОС Знак,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Абзац списка4 Знак"/>
    <w:next w:val="1226"/>
    <w:link w:val="1209"/>
    <w:uiPriority w:val="34"/>
    <w:qFormat/>
    <w:rPr>
      <w:sz w:val="24"/>
      <w:szCs w:val="24"/>
    </w:rPr>
  </w:style>
  <w:style w:type="paragraph" w:styleId="1227">
    <w:name w:val="Таблица шапка"/>
    <w:basedOn w:val="1154"/>
    <w:next w:val="1227"/>
    <w:link w:val="1154"/>
    <w:pPr>
      <w:ind w:left="57" w:right="57"/>
      <w:keepNext/>
      <w:spacing w:before="40" w:after="40"/>
    </w:pPr>
    <w:rPr>
      <w:sz w:val="22"/>
      <w:szCs w:val="22"/>
    </w:rPr>
  </w:style>
  <w:style w:type="character" w:styleId="1228">
    <w:name w:val="notice-number3"/>
    <w:next w:val="1228"/>
    <w:link w:val="1154"/>
  </w:style>
  <w:style w:type="paragraph" w:styleId="1229">
    <w:name w:val="P-Style"/>
    <w:basedOn w:val="1154"/>
    <w:next w:val="1229"/>
    <w:link w:val="1154"/>
    <w:pPr>
      <w:spacing w:after="95" w:line="276" w:lineRule="auto"/>
    </w:pPr>
  </w:style>
  <w:style w:type="paragraph" w:styleId="1230">
    <w:name w:val="Default"/>
    <w:next w:val="1230"/>
    <w:link w:val="1154"/>
    <w:rPr>
      <w:color w:val="000000"/>
      <w:sz w:val="24"/>
      <w:szCs w:val="24"/>
      <w:lang w:val="ru-RU" w:eastAsia="en-US" w:bidi="ar-SA"/>
    </w:rPr>
  </w:style>
  <w:style w:type="table" w:styleId="1231">
    <w:name w:val="style12359"/>
    <w:next w:val="1231"/>
    <w:link w:val="1154"/>
    <w:uiPriority w:val="99"/>
    <w:pPr>
      <w:spacing w:after="200" w:line="276" w:lineRule="auto"/>
    </w:pPr>
    <w:rPr>
      <w:sz w:val="24"/>
      <w:szCs w:val="24"/>
      <w:lang w:val="ru-RU" w:eastAsia="ru-RU" w:bidi="ar-SA"/>
    </w:rPr>
    <w:tblPr/>
  </w:style>
  <w:style w:type="character" w:styleId="1232">
    <w:name w:val="Font Style22"/>
    <w:next w:val="1232"/>
    <w:link w:val="1154"/>
    <w:uiPriority w:val="99"/>
    <w:rPr>
      <w:rFonts w:ascii="Times New Roman" w:hAnsi="Times New Roman" w:cs="Times New Roman"/>
      <w:sz w:val="22"/>
      <w:szCs w:val="22"/>
    </w:rPr>
  </w:style>
  <w:style w:type="character" w:styleId="1233">
    <w:name w:val="Схема документа Знак"/>
    <w:next w:val="1233"/>
    <w:link w:val="1186"/>
    <w:semiHidden/>
    <w:rPr>
      <w:rFonts w:ascii="Tahoma" w:hAnsi="Tahoma" w:cs="Tahoma"/>
      <w:shd w:val="clear" w:color="auto" w:fill="000080"/>
    </w:rPr>
  </w:style>
  <w:style w:type="character" w:styleId="1234" w:default="1">
    <w:name w:val="Default Paragraph Font"/>
    <w:uiPriority w:val="1"/>
    <w:semiHidden/>
    <w:unhideWhenUsed/>
  </w:style>
  <w:style w:type="numbering" w:styleId="1235" w:default="1">
    <w:name w:val="No List"/>
    <w:uiPriority w:val="99"/>
    <w:semiHidden/>
    <w:unhideWhenUsed/>
  </w:style>
  <w:style w:type="table" w:styleId="123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dementev-ase</cp:lastModifiedBy>
  <cp:revision>133</cp:revision>
  <dcterms:created xsi:type="dcterms:W3CDTF">2023-01-18T07:14:00Z</dcterms:created>
  <dcterms:modified xsi:type="dcterms:W3CDTF">2025-12-15T09:11:46Z</dcterms:modified>
  <cp:version>1048576</cp:version>
</cp:coreProperties>
</file>