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0"/>
      </w:pPr>
      <w:r>
        <w:rPr>
          <w:b w:val="1"/>
          <w:bCs w:val="1"/>
        </w:rPr>
        <w:t xml:space="preserve">Протокол</w:t>
      </w:r>
    </w:p>
    <w:p>
      <w:pPr>
        <w:jc w:val="center"/>
        <w:spacing w:after="0"/>
      </w:pPr>
      <w:r>
        <w:rPr>
          <w:b w:val="1"/>
          <w:bCs w:val="1"/>
        </w:rPr>
        <w:t xml:space="preserve">подведения итогов процедуры</w:t>
      </w:r>
    </w:p>
    <w:p>
      <w:pPr>
        <w:jc w:val="center"/>
        <w:spacing w:after="0"/>
      </w:pPr>
      <w:r>
        <w:rPr>
          <w:b w:val="1"/>
          <w:bCs w:val="1"/>
        </w:rPr>
        <w:t xml:space="preserve">32515492457</w:t>
      </w:r>
    </w:p>
    <w:tbl>
      <w:tblGrid>
        <w:gridCol w:w="5000" w:type="dxa"/>
        <w:gridCol w:w="5000" w:type="dxa"/>
      </w:tblGrid>
      <w:tr>
        <w:trPr/>
        <w:tc>
          <w:tcPr>
            <w:tcW w:w="5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«15» декабря 2025г.</w:t>
            </w:r>
          </w:p>
        </w:tc>
      </w:tr>
    </w:tbl>
    <w:p>
      <w:pPr/>
      <w:r>
        <w:rPr>
          <w:b w:val="1"/>
          <w:bCs w:val="1"/>
        </w:rPr>
        <w:t xml:space="preserve">Организатором является: </w:t>
      </w:r>
      <w:r>
        <w:rPr>
          <w:b w:val="0"/>
          <w:bCs w:val="0"/>
        </w:rPr>
        <w:t xml:space="preserve">ФЕДЕРАЛЬНОЕ ГОСУДАРСТВЕННОЕ БЮДЖЕТНОЕ ОБРАЗОВАТЕЛЬНОЕ УЧРЕЖДЕНИЕ ВЫСШЕГО ОБРАЗОВАНИЯ "МОРСКОЙ ГОСУДАРСТВЕННЫЙ УНИВЕРСИТЕТ ИМЕНИ АДМИРАЛА Г.И. НЕВЕЛЬСКОГО"</w:t>
      </w:r>
      <w:br/>
      <w:r>
        <w:rPr>
          <w:b w:val="1"/>
          <w:bCs w:val="1"/>
        </w:rPr>
        <w:t xml:space="preserve">Заказчиком является: </w:t>
      </w:r>
      <w:r>
        <w:rPr>
          <w:b w:val="0"/>
          <w:bCs w:val="0"/>
        </w:rPr>
        <w:t xml:space="preserve">ФЕДЕРАЛЬНОЕ ГОСУДАРСТВЕННОЕ БЮДЖЕТНОЕ ОБРАЗОВАТЕЛЬНОЕ УЧРЕЖДЕНИЕ ВЫСШЕГО ОБРАЗОВАНИЯ "МОРСКОЙ ГОСУДАРСТВЕННЫЙ УНИВЕРСИТЕТ ИМЕНИ АДМИРАЛА Г.И. НЕВЕЛЬСКОГО"</w:t>
      </w:r>
    </w:p>
    <w:p/>
    <w:p>
      <w:pPr/>
      <w:r>
        <w:rPr>
          <w:b w:val="1"/>
          <w:bCs w:val="1"/>
        </w:rPr>
        <w:t xml:space="preserve">Способ закупки: </w:t>
      </w:r>
    </w:p>
    <w:p>
      <w:pPr/>
      <w:r>
        <w:rPr>
          <w:b w:val="0"/>
          <w:bCs w:val="0"/>
        </w:rPr>
        <w:t xml:space="preserve">Открытый запрос котировок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Наименование процедуры: </w:t>
      </w:r>
      <w:r>
        <w:rPr>
          <w:b w:val="0"/>
          <w:bCs w:val="0"/>
        </w:rPr>
        <w:t xml:space="preserve">Оказание услуг по организации приема карт в качестве средства оплаты товаров (услуг) и обработку информации на оборудовании Банка для нужд МГУ им. адм. Г. И. Невельского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Предмет договора лота: </w:t>
      </w:r>
      <w:r>
        <w:rPr>
          <w:b w:val="0"/>
          <w:bCs w:val="0"/>
        </w:rPr>
        <w:t xml:space="preserve">Оказание услуг по организации приема карт в качестве средства оплаты товаров (услуг) и обработку информации на оборудовании Банка для нужд МГУ им. адм. Г. И. Невельского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Начальная (максимальная) цена договора, лота: </w:t>
      </w:r>
      <w:r>
        <w:rPr>
          <w:b w:val="0"/>
          <w:bCs w:val="0"/>
        </w:rPr>
        <w:t xml:space="preserve">3 000 000.00 (с учетом НДС) в валюте - Российский рубль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Извещение о проведении настоящей процедуры и документация были размещены «05» декабря 2025г. на сайте АО «Единая электронная торговая площадка» (АО «ЕЭТП»), по адресу в сети «Интернет»: </w:t>
      </w:r>
      <w:hyperlink r:id="rId7" w:history="1">
        <w:r>
          <w:t xml:space="preserve">https://corp.roseltorg.ru</w:t>
        </w:r>
      </w:hyperlink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Были рассмотрены заявки следующих участников процедуры:</w:t>
      </w:r>
    </w:p>
    <w:tbl>
      <w:tblGrid>
        <w:gridCol w:w="2000" w:type="dxa"/>
        <w:gridCol w:w="2000" w:type="dxa"/>
        <w:gridCol w:w="2000" w:type="dxa"/>
        <w:gridCol w:w="5500" w:type="dxa"/>
        <w:gridCol w:w="5500" w:type="dxa"/>
        <w:gridCol w:w="5500" w:type="dxa"/>
      </w:tblGrid>
      <w:tblPr>
        <w:tblStyle w:val="style23214"/>
      </w:tblPr>
      <w:tr>
        <w:trPr>
          <w:cantSplit w:val="1"/>
        </w:trPr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 в лоте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регистрации заявок (МСК)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 о допуске заявки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Основание для решения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1064167602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"ГАЗПРОМБАНК" (АКЦИОНЕРНОЕ ОБЩЕСТВО), 117420, Г МОСКВА, УЛ НАМЁТКИНА, 16, 1,, ИНН 7744001497, КПП 772801001, ОГРН 1027700167110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/>
              <w:t xml:space="preserve">12.12.2025 13:16:38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/>
              <w:t xml:space="preserve">Состав документов заявителя соответствует требованиям</w:t>
            </w:r>
          </w:p>
        </w:tc>
      </w:tr>
    </w:tbl>
    <w:p>
      <w:pPr/>
      <w:r>
        <w:rPr/>
        <w:t xml:space="preserve">Для участия в процедуре было подано 1 заявка от участников, 0 заявок отозвано, место не присвоено 0 заявок.</w:t>
      </w:r>
    </w:p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Сопоставление ценовых предложений допущенных участников процедуры:</w:t>
      </w:r>
    </w:p>
    <w:tbl>
      <w:tblGrid>
        <w:gridCol w:w="1866.6666666666667" w:type="dxa"/>
        <w:gridCol w:w="1866.6666666666667" w:type="dxa"/>
        <w:gridCol w:w="1866.6666666666667" w:type="dxa"/>
        <w:gridCol w:w="5266.666666666667" w:type="dxa"/>
        <w:gridCol w:w="5266.666666666667" w:type="dxa"/>
        <w:gridCol w:w="5266.666666666667" w:type="dxa"/>
      </w:tblGrid>
      <w:tblPr>
        <w:tblStyle w:val="style43879"/>
      </w:tblPr>
      <w:tr>
        <w:trPr>
          <w:cantSplit w:val="1"/>
        </w:trPr>
        <w:tc>
          <w:tcPr>
            <w:tcW w:w="1866.666666666666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 в лоте</w:t>
            </w:r>
          </w:p>
        </w:tc>
        <w:tc>
          <w:tcPr>
            <w:tcW w:w="1866.666666666666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</w:t>
            </w:r>
          </w:p>
        </w:tc>
        <w:tc>
          <w:tcPr>
            <w:tcW w:w="1866.666666666666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без НДС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с НДС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Ставка НДС</w:t>
            </w:r>
          </w:p>
        </w:tc>
      </w:tr>
      <w:tr>
        <w:trPr>
          <w:cantSplit w:val="1"/>
        </w:trPr>
        <w:tc>
          <w:tcPr>
            <w:tcW w:w="1866.6666666666667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1866.6666666666667" w:type="dxa"/>
          </w:tcPr>
          <w:p>
            <w:pPr>
              <w:jc w:val="center"/>
            </w:pPr>
            <w:r>
              <w:rPr/>
              <w:t xml:space="preserve">1064167602</w:t>
            </w:r>
          </w:p>
        </w:tc>
        <w:tc>
          <w:tcPr>
            <w:tcW w:w="1866.6666666666667" w:type="dxa"/>
          </w:tcPr>
          <w:p>
            <w:pPr>
              <w:jc w:val="center"/>
            </w:pPr>
            <w:r>
              <w:rPr/>
              <w:t xml:space="preserve">"ГАЗПРОМБАНК" (АКЦИОНЕРНОЕ ОБЩЕСТВО), 117420, Г МОСКВА, УЛ НАМЁТКИНА, 16, 1,, ИНН 7744001497, КПП 772801001, ОГРН 1027700167110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/>
              <w:t xml:space="preserve">3000000.00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/>
              <w:t xml:space="preserve">3 000 000.00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/>
              <w:t xml:space="preserve">Без НДС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Комиссия рассмотрела заявки участников,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Grid>
        <w:gridCol w:w="1828.5714285714287" w:type="dxa"/>
        <w:gridCol w:w="1828.5714285714287" w:type="dxa"/>
        <w:gridCol w:w="1828.5714285714287" w:type="dxa"/>
        <w:gridCol w:w="5228.571428571428" w:type="dxa"/>
        <w:gridCol w:w="1828.5714285714287" w:type="dxa"/>
        <w:gridCol w:w="1828.5714285714287" w:type="dxa"/>
        <w:gridCol w:w="1828.5714285714287" w:type="dxa"/>
      </w:tblGrid>
      <w:tblPr>
        <w:tblStyle w:val="style40225"/>
      </w:tblPr>
      <w:tr>
        <w:trPr>
          <w:cantSplit w:val="1"/>
        </w:trPr>
        <w:tc>
          <w:tcPr>
            <w:tcW w:w="1828.571428571428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 в лоте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5228.571428571428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без НДС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с НДС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Ставка НДС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Место заявки</w:t>
            </w:r>
          </w:p>
        </w:tc>
      </w:tr>
      <w:tr>
        <w:trPr>
          <w:cantSplit w:val="1"/>
        </w:trPr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1064167602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"ГАЗПРОМБАНК" (АКЦИОНЕРНОЕ ОБЩЕСТВО), 117420, Г МОСКВА, УЛ НАМЁТКИНА, 16, 1,, ИНН 7744001497, КПП 772801001, ОГРН 1027700167110</w:t>
            </w:r>
          </w:p>
        </w:tc>
        <w:tc>
          <w:tcPr>
            <w:tcW w:w="5228.571428571428" w:type="dxa"/>
          </w:tcPr>
          <w:p>
            <w:pPr>
              <w:jc w:val="center"/>
            </w:pPr>
            <w:r>
              <w:rPr/>
              <w:t xml:space="preserve">3000000.00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3 000 000.00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Без НДС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1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Сведения о решении членов комиссии по каждой заявке: Единая комиссия</w:t>
      </w:r>
    </w:p>
    <w:p>
      <w:pPr/>
      <w:r>
        <w:rPr>
          <w:b w:val="1"/>
          <w:bCs w:val="1"/>
        </w:rPr>
        <w:t xml:space="preserve">Заявка №1064167602 ("ГАЗПРОМБАНК" (АКЦИОНЕРНОЕ ОБЩЕСТВО))</w:t>
      </w:r>
    </w:p>
    <w:tbl>
      <w:tblGrid>
        <w:gridCol w:w="5000" w:type="dxa"/>
        <w:gridCol w:w="5000" w:type="dxa"/>
      </w:tblGrid>
      <w:tblPr>
        <w:tblStyle w:val="style10945"/>
      </w:tblP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Член комиссии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Ермолаев Вячеслав Михайлович (Председатель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Рещенко Олеся Васильевна (Зам. председателя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Зайцева Валерия Олеговна (Секретарь комиссии)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По результатам подведения итогов принято решение заключить договор с "ГАЗПРОМБАНК" (АКЦИОНЕРНОЕ ОБЩЕСТВО)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Договор заключается на условиях, предусмотренных документацией о проведении процедуры, по начальной цене договора, указанной в извещении о проведении процедуры, или по цене договора, согласованной с участником процедуры.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Закупка признана несостоявшейся. Причина признания закупки несостоявшейся -</w:t>
      </w:r>
    </w:p>
    <w:tbl>
      <w:tblGrid>
        <w:gridCol w:w="10000" w:type="dxa"/>
      </w:tblGrid>
      <w:tblPr>
        <w:tblStyle w:val="style60893"/>
      </w:tblPr>
      <w:tr>
        <w:trPr>
          <w:cantSplit w:val="1"/>
        </w:trPr>
        <w:tc>
          <w:tcPr>
            <w:tcW w:w="10000" w:type="dxa"/>
          </w:tcPr>
          <w:p>
            <w:pPr>
              <w:jc w:val="left"/>
              <w:spacing w:after="0"/>
            </w:pPr>
            <w:r>
              <w:rPr/>
              <w:t xml:space="preserve">      Конкурентная закупка признана несостоявшейся в связи с тем, что на участие в закупке подана только одна заявка.</w:t>
            </w:r>
          </w:p>
        </w:tc>
      </w:tr>
    </w:tbl>
    <w:p>
      <w:pPr>
        <w:keepLines w:val="1"/>
        <w:spacing w:after="96"/>
        <w:numPr>
          <w:ilvl w:val="0"/>
          <w:numId w:val="4"/>
        </w:numPr>
      </w:pPr>
      <w:r>
        <w:rPr/>
        <w:t xml:space="preserve">Протокол подведения итогов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7" w:history="1">
        <w:r>
          <w:t xml:space="preserve">https://corp.roseltorg.ru</w:t>
        </w:r>
      </w:hyperlink>
      <w:r>
        <w:rPr/>
        <w:t xml:space="preserve"> в сроки, предусмотренные №223-ФЗ и действующим Положением о закупках.</w:t>
      </w:r>
      <w:r>
        <w:rPr/>
        <w:t xml:space="preserve"/>
      </w:r>
    </w:p>
    <w:p>
      <w:pPr/>
      <w:r>
        <w:rPr>
          <w:b w:val="1"/>
          <w:bCs w:val="1"/>
        </w:rPr>
        <w:t xml:space="preserve">Члены комиссии, присутствующие на заседании:</w:t>
      </w:r>
    </w:p>
    <w:tbl>
      <w:tblGrid>
        <w:gridCol w:w="3300" w:type="dxa"/>
        <w:gridCol w:w="3400" w:type="dxa"/>
        <w:gridCol w:w="3300" w:type="dxa"/>
      </w:tblGrid>
      <w:tblPr>
        <w:tblStyle w:val="style96730"/>
      </w:tblP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Должность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</w:pPr>
            <w:r>
              <w:rPr>
                <w:b w:val="0"/>
                <w:bCs w:val="0"/>
              </w:rPr>
              <w:t xml:space="preserve"/>
            </w:r>
          </w:p>
        </w:tc>
        <w:tc>
          <w:tcPr>
            <w:tcW w:w="3300" w:type="dxa"/>
            <w:vAlign w:val="bottom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ФИО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Председатель комиссии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Ермолаев Вячеслав Михайлович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Зам. председателя комиссии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Рещенко Олеся Васильевна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Секретарь комиссии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Зайцева Валерия Олеговна</w:t>
            </w:r>
          </w:p>
        </w:tc>
      </w:tr>
    </w:tbl>
    <w:sectPr>
      <w:footerReference w:type="default" r:id="rId8"/>
      <w:pgSz w:orient="portrait" w:w="11905.511811023622" w:h="16837.79527559055"/>
      <w:pgMar w:top="1440" w:right="566.9291338582676" w:bottom="1440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8503.937007874016" w:type="dxa"/>
      <w:gridCol w:w="1417.3228346456694" w:type="dxa"/>
    </w:tblGrid>
    <w:tblPr>
      <w:tblW w:w="0" w:type="auto"/>
      <w:tblLayout w:type="autofit"/>
      <w:bidiVisual w:val="0"/>
      <w:tblCellMar>
        <w:top w:w="0" w:type="dxa"/>
        <w:left w:w="0" w:type="dxa"/>
        <w:right w:w="0" w:type="dxa"/>
        <w:bottom w:w="0" w:type="dxa"/>
      </w:tblCellMar>
      <w:tblBorders>
        <w:top w:val="single" w:sz="2" w:color="555555"/>
      </w:tblBorders>
    </w:tblPr>
    <w:tr>
      <w:trPr/>
      <w:tc>
        <w:tcPr>
          <w:tcW w:w="8503.937007874016" w:type="dxa"/>
        </w:tcPr>
        <w:p>
          <w:pPr>
            <w:jc w:val="left"/>
          </w:pPr>
          <w:r>
            <w:rPr/>
            <w:t xml:space="preserve">Протокол подведения итогов процедуры №32515492457 от 15.12.2025г.</w:t>
          </w:r>
        </w:p>
      </w:tc>
      <w:tc>
        <w:tcPr>
          <w:tcW w:w="1417.3228346456694" w:type="dxa"/>
        </w:tcPr>
        <w:p>
          <w:pPr>
            <w:jc w:val="right"/>
          </w:pPr>
          <w:r>
            <w:t xml:space="preserve">стр.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8BFAAB57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F941CB22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  <w:rPr>
        <w:rFonts w:ascii="" w:hAnsi="" w:cs=""/>
      </w:rPr>
    </w:lvl>
    <w:lvl w:ilvl="1">
      <w:start w:val="1"/>
      <w:numFmt w:val="decimal"/>
      <w:suff w:val="tab"/>
      <w:lvlText w:val="%1.%2."/>
      <w:lvlJc w:val="left"/>
      <w:pPr>
        <w:tabs>
          <w:tab w:val="num" w:pos="792"/>
        </w:tabs>
        <w:ind w:left="792" w:hanging="432"/>
      </w:pPr>
      <w:rPr>
        <w:rFonts w:ascii="" w:hAnsi="" w:cs=""/>
      </w:rPr>
    </w:lvl>
    <w:lvl w:ilvl="2">
      <w:start w:val="1"/>
      <w:numFmt w:val="decimal"/>
      <w:suff w:val="tab"/>
      <w:lvlText w:val="%1.%2.%3."/>
      <w:lvlJc w:val="left"/>
      <w:pPr>
        <w:tabs>
          <w:tab w:val="num" w:pos="1224"/>
        </w:tabs>
        <w:ind w:left="1224" w:hanging="504"/>
      </w:pPr>
      <w:rPr>
        <w:rFonts w:ascii="" w:hAnsi="" w:cs=""/>
      </w:rPr>
    </w:lvl>
    <w:lvl w:ilvl="3">
      <w:start w:val="1"/>
      <w:numFmt w:val="decimal"/>
      <w:suff w:val="tab"/>
      <w:lvlText w:val="%1.%2.%3.%4."/>
      <w:lvlJc w:val="left"/>
      <w:pPr>
        <w:tabs>
          <w:tab w:val="num" w:pos="1800"/>
        </w:tabs>
        <w:ind w:left="1728" w:hanging="648"/>
      </w:pPr>
      <w:rPr>
        <w:rFonts w:ascii="" w:hAnsi="" w:cs=""/>
      </w:rPr>
    </w:lvl>
    <w:lvl w:ilvl="4">
      <w:start w:val="1"/>
      <w:numFmt w:val="decimal"/>
      <w:suff w:val="tab"/>
      <w:lvlText w:val="%1.%2.%3.%4.%5."/>
      <w:lvlJc w:val="left"/>
      <w:pPr>
        <w:tabs>
          <w:tab w:val="num" w:pos="2520"/>
        </w:tabs>
        <w:ind w:left="2232" w:hanging="792"/>
      </w:pPr>
      <w:rPr>
        <w:rFonts w:ascii="" w:hAnsi="" w:cs=""/>
      </w:rPr>
    </w:lvl>
    <w:lvl w:ilvl="5">
      <w:start w:val="1"/>
      <w:numFmt w:val="decimal"/>
      <w:suff w:val="tab"/>
      <w:lvlText w:val="%1.%2.%3.%4.%5.%6."/>
      <w:lvlJc w:val="left"/>
      <w:pPr>
        <w:tabs>
          <w:tab w:val="num" w:pos="2880"/>
        </w:tabs>
        <w:ind w:left="2736" w:hanging="936"/>
      </w:pPr>
      <w:rPr>
        <w:rFonts w:ascii="" w:hAnsi="" w:cs=""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" w:hAnsi="" w:cs=""/>
      </w:rPr>
    </w:lvl>
    <w:lvl w:ilvl="7">
      <w:start w:val="1"/>
      <w:numFmt w:val="decimal"/>
      <w:suff w:val="tab"/>
      <w:lvlText w:val="%1.%2.%3.%4.%5.%6.%7.%8."/>
      <w:lvlJc w:val="left"/>
      <w:pPr>
        <w:tabs>
          <w:tab w:val="num" w:pos="3960"/>
        </w:tabs>
        <w:ind w:left="3744" w:hanging="1224"/>
      </w:pPr>
      <w:rPr>
        <w:rFonts w:ascii="" w:hAnsi="" w:cs=""/>
      </w:rPr>
    </w:lvl>
    <w:lvl w:ilvl="8">
      <w:start w:val="1"/>
      <w:numFmt w:val="decimal"/>
      <w:suff w:val="tab"/>
      <w:lvlText w:val="%1.%2.%3.%4.%5.%6.%7.%8.%9."/>
      <w:lvlJc w:val="left"/>
      <w:pPr>
        <w:tabs>
          <w:tab w:val="num" w:pos="4680"/>
        </w:tabs>
        <w:ind w:left="4320" w:hanging="1440"/>
      </w:pPr>
      <w:rPr>
        <w:rFonts w:ascii="" w:hAnsi="" w:cs=""/>
      </w:rPr>
    </w:lvl>
  </w:abstractNum>
  <w:num w:numId="3">
    <w:abstractNumId w:val="3"/>
  </w: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OwnStyle"/>
    <w:rPr>
      <w:b w:val="1"/>
      <w:bCs w:val="1"/>
    </w:rPr>
  </w:style>
  <w:style w:type="paragraph" w:customStyle="1" w:styleId="P-Style">
    <w:name w:val="P-Style"/>
    <w:basedOn w:val="Normal"/>
    <w:pPr>
      <w:keepLines w:val="1"/>
      <w:spacing w:after="96"/>
    </w:pPr>
  </w:style>
  <w:style w:type="table" w:customStyle="1" w:styleId="style23214">
    <w:name w:val="style23214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43879">
    <w:name w:val="style43879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40225">
    <w:name w:val="style40225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10945">
    <w:name w:val="style10945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60893">
    <w:name w:val="style60893"/>
    <w:uiPriority w:val="99"/>
    <w:tblPr>
      <w:tblW w:w="0" w:type="auto"/>
      <w:tblLayout w:type="autofit"/>
      <w:bidiVisual w:val="0"/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  <w:style w:type="table" w:customStyle="1" w:styleId="style96730">
    <w:name w:val="style96730"/>
    <w:uiPriority w:val="99"/>
    <w:tblPr>
      <w:tblW w:w="0" w:type="auto"/>
      <w:tblLayout w:type="autofit"/>
      <w:bidiVisual w:val="0"/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corp.roseltorg.ru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2025-12-15T02:47:23+03:00</dcterms:created>
  <dcterms:modified xsi:type="dcterms:W3CDTF">2025-12-15T02:47:23+03:00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