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69"/>
        <w:ind w:right="-1"/>
        <w:jc w:val="center"/>
        <w:rPr>
          <w:b/>
          <w:bCs/>
          <w:highlight w:val="none"/>
        </w:rPr>
      </w:pPr>
      <w:r>
        <w:rPr>
          <w:b/>
          <w:bCs/>
        </w:rPr>
        <w:t xml:space="preserve">П</w:t>
      </w:r>
      <w:r>
        <w:rPr>
          <w:b/>
          <w:bCs/>
        </w:rPr>
        <w:t xml:space="preserve">РОТОКОЛ </w:t>
      </w:r>
      <w:r>
        <w:rPr>
          <w:b/>
          <w:bCs/>
          <w:highlight w:val="none"/>
        </w:rPr>
        <w:t xml:space="preserve">№ 2</w:t>
      </w:r>
      <w:r>
        <w:rPr>
          <w:b/>
          <w:bCs/>
          <w:highlight w:val="none"/>
        </w:rPr>
        <w:t xml:space="preserve">/</w:t>
      </w:r>
      <w:r>
        <w:rPr>
          <w:b/>
          <w:bCs/>
          <w:highlight w:val="none"/>
        </w:rPr>
        <w:t xml:space="preserve">3</w:t>
      </w:r>
      <w:r>
        <w:rPr>
          <w:b/>
          <w:bCs/>
          <w:highlight w:val="none"/>
        </w:rPr>
        <w:t xml:space="preserve">6</w:t>
      </w:r>
      <w:r>
        <w:rPr>
          <w:b/>
          <w:bCs/>
          <w:highlight w:val="none"/>
        </w:rPr>
        <w:t xml:space="preserve">8</w:t>
      </w:r>
      <w:r>
        <w:rPr>
          <w:b/>
          <w:bCs/>
          <w:highlight w:val="none"/>
        </w:rPr>
        <w:t xml:space="preserve">0</w:t>
      </w:r>
      <w:r>
        <w:rPr>
          <w:b/>
          <w:bCs/>
          <w:highlight w:val="none"/>
        </w:rPr>
        <w:t xml:space="preserve">6</w:t>
      </w:r>
      <w:r>
        <w:rPr>
          <w:b/>
          <w:bCs/>
          <w:highlight w:val="none"/>
        </w:rPr>
        <w:t xml:space="preserve">0</w:t>
      </w:r>
      <w:r>
        <w:rPr>
          <w:b/>
          <w:bCs/>
          <w:highlight w:val="none"/>
        </w:rPr>
        <w:t xml:space="preserve">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069"/>
        <w:jc w:val="center"/>
        <w:rPr>
          <w:bCs/>
          <w:highlight w:val="none"/>
        </w:rPr>
      </w:pPr>
      <w:r>
        <w:rPr>
          <w:bCs/>
          <w:highlight w:val="none"/>
        </w:rPr>
        <w:t xml:space="preserve">заочного заседания </w:t>
      </w:r>
      <w:r>
        <w:rPr>
          <w:bCs/>
          <w:highlight w:val="none"/>
        </w:rPr>
        <w:t xml:space="preserve">Закупочной</w:t>
      </w:r>
      <w:r>
        <w:rPr>
          <w:bCs/>
          <w:highlight w:val="none"/>
        </w:rPr>
        <w:t xml:space="preserve"> комиссии по </w:t>
      </w:r>
      <w:r>
        <w:rPr>
          <w:bCs/>
          <w:highlight w:val="none"/>
        </w:rPr>
        <w:t xml:space="preserve">подведению итогов </w:t>
      </w:r>
      <w:r>
        <w:rPr>
          <w:bCs/>
          <w:highlight w:val="none"/>
        </w:rPr>
        <w:t xml:space="preserve"> 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69"/>
        <w:jc w:val="center"/>
        <w:rPr>
          <w:highlight w:val="none"/>
        </w:rPr>
      </w:pPr>
      <w:r>
        <w:rPr>
          <w:bCs/>
          <w:highlight w:val="none"/>
        </w:rPr>
        <w:t xml:space="preserve">запроса котировок в электронной форме на право заключения </w:t>
      </w:r>
      <w:r>
        <w:rPr>
          <w:spacing w:val="-2"/>
          <w:highlight w:val="none"/>
        </w:rPr>
        <w:t xml:space="preserve">договора </w:t>
      </w:r>
      <w:r>
        <w:rPr>
          <w:sz w:val="24"/>
          <w:szCs w:val="24"/>
          <w:highlight w:val="none"/>
        </w:rPr>
        <w:t xml:space="preserve">поставки </w:t>
      </w:r>
      <w:r>
        <w:rPr>
          <w:sz w:val="24"/>
          <w:szCs w:val="24"/>
          <w:highlight w:val="none"/>
        </w:rPr>
        <w:t xml:space="preserve">масла трансформаторного ГК  для нужд Кузбасского ПМЭС</w:t>
      </w:r>
      <w:r>
        <w:rPr>
          <w:highlight w:val="none"/>
        </w:rPr>
      </w:r>
      <w:r>
        <w:rPr>
          <w:highlight w:val="none"/>
        </w:rPr>
      </w:r>
    </w:p>
    <w:p>
      <w:pPr>
        <w:pStyle w:val="106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138"/>
        <w:gridCol w:w="51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8" w:type="dxa"/>
            <w:vAlign w:val="top"/>
            <w:textDirection w:val="lrTb"/>
            <w:noWrap w:val="false"/>
          </w:tcPr>
          <w:p>
            <w:pPr>
              <w:pStyle w:val="1069"/>
              <w:rPr>
                <w:b/>
                <w:bCs/>
                <w:highlight w:val="none"/>
              </w:rPr>
              <w:outlineLvl w:val="0"/>
            </w:pPr>
            <w:r>
              <w:rPr>
                <w:highlight w:val="none"/>
              </w:rPr>
              <w:t xml:space="preserve">Дата </w:t>
            </w:r>
            <w:r>
              <w:rPr>
                <w:highlight w:val="none"/>
              </w:rPr>
              <w:t xml:space="preserve">заседания комиссии</w:t>
            </w:r>
            <w:r>
              <w:rPr>
                <w:highlight w:val="none"/>
              </w:rPr>
              <w:t xml:space="preserve">: 15</w:t>
            </w:r>
            <w:r>
              <w:rPr>
                <w:highlight w:val="none"/>
              </w:rPr>
              <w:t xml:space="preserve">.12</w:t>
            </w: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  <w:t xml:space="preserve">202</w:t>
            </w:r>
            <w:r>
              <w:rPr>
                <w:highlight w:val="none"/>
              </w:rPr>
              <w:t xml:space="preserve">5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7" w:type="dxa"/>
            <w:vAlign w:val="top"/>
            <w:textDirection w:val="lrTb"/>
            <w:noWrap w:val="false"/>
          </w:tcPr>
          <w:p>
            <w:pPr>
              <w:pStyle w:val="1069"/>
              <w:ind w:hanging="101"/>
              <w:jc w:val="right"/>
              <w:tabs>
                <w:tab w:val="left" w:pos="4996" w:leader="none"/>
              </w:tabs>
              <w:rPr>
                <w:b/>
                <w:bCs/>
                <w:highlight w:val="none"/>
              </w:rPr>
            </w:pPr>
            <w:r>
              <w:rPr>
                <w:highlight w:val="none"/>
              </w:rPr>
              <w:t xml:space="preserve">Дата подписания протокола: 15</w:t>
            </w:r>
            <w:r>
              <w:rPr>
                <w:highlight w:val="none"/>
              </w:rPr>
              <w:t xml:space="preserve">.12</w:t>
            </w:r>
            <w:r>
              <w:rPr>
                <w:highlight w:val="none"/>
              </w:rPr>
              <w:t xml:space="preserve">.</w:t>
            </w:r>
            <w:r>
              <w:rPr>
                <w:highlight w:val="none"/>
              </w:rPr>
              <w:t xml:space="preserve">202</w:t>
            </w:r>
            <w:r>
              <w:rPr>
                <w:highlight w:val="none"/>
              </w:rPr>
              <w:t xml:space="preserve">5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</w:tbl>
    <w:p>
      <w:pPr>
        <w:pStyle w:val="106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69"/>
        <w:jc w:val="center"/>
        <w:rPr>
          <w:highlight w:val="none"/>
        </w:rPr>
      </w:pPr>
      <w:r>
        <w:rPr>
          <w:highlight w:val="none"/>
        </w:rPr>
        <w:t xml:space="preserve">г. Красноярск</w:t>
      </w:r>
      <w:r>
        <w:rPr>
          <w:highlight w:val="none"/>
        </w:rPr>
      </w:r>
      <w:r>
        <w:rPr>
          <w:highlight w:val="none"/>
        </w:rPr>
      </w:r>
    </w:p>
    <w:p>
      <w:pPr>
        <w:pStyle w:val="1069"/>
        <w:ind w:right="-45"/>
        <w:tabs>
          <w:tab w:val="left" w:pos="10080" w:leader="none"/>
        </w:tabs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Style w:val="1069"/>
        <w:jc w:val="both"/>
      </w:pPr>
      <w:r>
        <w:t xml:space="preserve">Настоящий </w:t>
      </w:r>
      <w:r>
        <w:rPr>
          <w:bCs/>
        </w:rPr>
        <w:t xml:space="preserve">запрос котировок</w:t>
      </w:r>
      <w:r>
        <w:t xml:space="preserve"> в электронной форме</w:t>
      </w:r>
      <w:r>
        <w:rPr>
          <w:bCs/>
        </w:rPr>
        <w:t xml:space="preserve">, </w:t>
      </w:r>
      <w:r>
        <w:t xml:space="preserve">проводится с использованием функционала электронной пл</w:t>
      </w:r>
      <w:r>
        <w:t xml:space="preserve">о</w:t>
      </w:r>
      <w:r>
        <w:t xml:space="preserve">щадки «</w:t>
      </w:r>
      <w:r>
        <w:t xml:space="preserve">РТС Тендер</w:t>
      </w:r>
      <w:r>
        <w:t xml:space="preserve">» согласно Правилам работы </w:t>
      </w:r>
      <w:r>
        <w:t xml:space="preserve">электронной площадки</w:t>
      </w:r>
      <w:r>
        <w:t xml:space="preserve">.</w:t>
      </w:r>
      <w:r/>
    </w:p>
    <w:p>
      <w:pPr>
        <w:pStyle w:val="1086"/>
        <w:numPr>
          <w:ilvl w:val="0"/>
          <w:numId w:val="27"/>
        </w:numPr>
        <w:ind w:left="1077" w:hanging="1077"/>
        <w:keepNext/>
        <w:spacing w:before="24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  <w:lang w:val="ru-RU"/>
        </w:rPr>
        <w:t xml:space="preserve">Повестка заседания</w:t>
      </w:r>
      <w:r>
        <w:rPr>
          <w:b/>
          <w:bCs/>
          <w:caps/>
          <w:sz w:val="24"/>
          <w:szCs w:val="24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1086"/>
        <w:numPr>
          <w:ilvl w:val="1"/>
          <w:numId w:val="42"/>
        </w:numPr>
        <w:ind w:left="0" w:firstLine="709"/>
        <w:tabs>
          <w:tab w:val="num" w:pos="66" w:leader="none"/>
          <w:tab w:val="clear" w:pos="720" w:leader="none"/>
          <w:tab w:val="left" w:pos="993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 признании заявки участника лучшей и признании данного участника победителем запроса </w:t>
      </w:r>
      <w:r>
        <w:rPr>
          <w:sz w:val="24"/>
          <w:szCs w:val="24"/>
          <w:lang w:val="ru-RU"/>
        </w:rPr>
        <w:t xml:space="preserve">котировок</w:t>
      </w:r>
      <w:r>
        <w:rPr>
          <w:sz w:val="24"/>
          <w:szCs w:val="24"/>
        </w:rPr>
        <w:t xml:space="preserve"> на право заключения договора </w:t>
      </w:r>
      <w:r>
        <w:rPr>
          <w:sz w:val="24"/>
          <w:szCs w:val="24"/>
          <w:highlight w:val="none"/>
        </w:rPr>
        <w:t xml:space="preserve">поставки </w:t>
      </w:r>
      <w:r>
        <w:rPr>
          <w:sz w:val="24"/>
          <w:szCs w:val="24"/>
          <w:highlight w:val="none"/>
        </w:rPr>
        <w:t xml:space="preserve">масла трансформаторного ГК  для нужд Кузбасского ПМЭС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86"/>
        <w:numPr>
          <w:ilvl w:val="0"/>
          <w:numId w:val="27"/>
        </w:numPr>
        <w:ind w:left="1077" w:hanging="1077"/>
        <w:keepNext/>
        <w:spacing w:before="24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 xml:space="preserve">Информация о закупке:</w:t>
      </w:r>
      <w:r>
        <w:rPr>
          <w:b/>
          <w:bCs/>
          <w:caps/>
          <w:sz w:val="24"/>
          <w:szCs w:val="24"/>
          <w:lang w:val="ru-RU"/>
        </w:rPr>
      </w:r>
      <w:r>
        <w:rPr>
          <w:b/>
          <w:bCs/>
          <w:caps/>
          <w:sz w:val="24"/>
          <w:szCs w:val="24"/>
          <w:lang w:val="ru-RU"/>
        </w:rPr>
      </w:r>
    </w:p>
    <w:p>
      <w:pPr>
        <w:pStyle w:val="1069"/>
        <w:ind w:right="6" w:firstLine="709"/>
        <w:jc w:val="both"/>
        <w:rPr>
          <w:bCs/>
          <w:iCs/>
          <w:highlight w:val="none"/>
        </w:rPr>
      </w:pPr>
      <w:r>
        <w:rPr>
          <w:highlight w:val="none"/>
        </w:rPr>
        <w:t xml:space="preserve">Извещение о проведении запроса котировок в электронной форме опубликовано 26</w:t>
      </w:r>
      <w:r>
        <w:rPr>
          <w:highlight w:val="none"/>
        </w:rPr>
        <w:t xml:space="preserve">.11.</w:t>
      </w:r>
      <w:r>
        <w:rPr>
          <w:highlight w:val="none"/>
        </w:rPr>
        <w:t xml:space="preserve">202</w:t>
      </w:r>
      <w:r>
        <w:rPr>
          <w:highlight w:val="none"/>
        </w:rPr>
        <w:t xml:space="preserve">5</w:t>
      </w:r>
      <w:r>
        <w:rPr>
          <w:highlight w:val="none"/>
        </w:rPr>
        <w:t xml:space="preserve"> </w:t>
      </w:r>
      <w:r>
        <w:rPr>
          <w:bCs/>
          <w:iCs/>
          <w:highlight w:val="none"/>
        </w:rPr>
        <w:t xml:space="preserve">на официальном сайте Единой информационной системы в сфере закупок (</w:t>
      </w:r>
      <w:r>
        <w:rPr>
          <w:bCs/>
          <w:iCs/>
          <w:highlight w:val="none"/>
        </w:rPr>
        <w:fldChar w:fldCharType="begin"/>
      </w:r>
      <w:r>
        <w:rPr>
          <w:bCs/>
          <w:iCs/>
          <w:highlight w:val="none"/>
        </w:rPr>
        <w:instrText xml:space="preserve"> HYPERLINK "http://www.zakupki.gov.ru" </w:instrText>
      </w:r>
      <w:r>
        <w:rPr>
          <w:bCs/>
          <w:iCs/>
          <w:highlight w:val="none"/>
        </w:rPr>
        <w:fldChar w:fldCharType="separate"/>
      </w:r>
      <w:r>
        <w:rPr>
          <w:rStyle w:val="1084"/>
          <w:bCs/>
          <w:iCs/>
          <w:highlight w:val="none"/>
        </w:rPr>
        <w:t xml:space="preserve">www.zakupki.gov.ru</w:t>
      </w:r>
      <w:r>
        <w:rPr>
          <w:highlight w:val="none"/>
        </w:rPr>
        <w:fldChar w:fldCharType="end"/>
      </w:r>
      <w:r>
        <w:rPr>
          <w:bCs/>
          <w:iCs/>
          <w:highlight w:val="none"/>
        </w:rPr>
        <w:t xml:space="preserve">)</w:t>
      </w:r>
      <w:r>
        <w:rPr>
          <w:highlight w:val="none"/>
        </w:rPr>
        <w:t xml:space="preserve"> №</w:t>
      </w:r>
      <w:r>
        <w:rPr>
          <w:highlight w:val="none"/>
        </w:rPr>
        <w:t xml:space="preserve"> </w:t>
      </w:r>
      <w:r>
        <w:rPr>
          <w:highlight w:val="none"/>
        </w:rPr>
        <w:t xml:space="preserve">32515447805</w:t>
      </w:r>
      <w:r>
        <w:rPr>
          <w:highlight w:val="none"/>
        </w:rPr>
        <w:t xml:space="preserve">, на электронной торговой площадке «РТС-тендер» (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"http://www.tzselektra.ru" </w:instrText>
      </w:r>
      <w:r>
        <w:rPr>
          <w:highlight w:val="none"/>
        </w:rPr>
        <w:fldChar w:fldCharType="separate"/>
      </w:r>
      <w:r>
        <w:rPr>
          <w:rStyle w:val="1084"/>
          <w:bCs/>
          <w:iCs/>
          <w:highlight w:val="none"/>
        </w:rPr>
        <w:t xml:space="preserve">www.rts-tender.ru</w:t>
      </w:r>
      <w:r>
        <w:rPr>
          <w:rStyle w:val="1084"/>
          <w:bCs/>
          <w:iCs/>
          <w:highlight w:val="none"/>
        </w:rPr>
        <w:fldChar w:fldCharType="end"/>
      </w:r>
      <w:r>
        <w:rPr>
          <w:highlight w:val="none"/>
        </w:rPr>
        <w:t xml:space="preserve">) закупка №</w:t>
      </w:r>
      <w:r>
        <w:rPr>
          <w:highlight w:val="none"/>
        </w:rPr>
        <w:t xml:space="preserve"> </w:t>
      </w:r>
      <w:r>
        <w:rPr>
          <w:highlight w:val="none"/>
        </w:rPr>
        <w:t xml:space="preserve">3680604</w:t>
      </w:r>
      <w:r>
        <w:rPr>
          <w:bCs/>
          <w:iCs/>
          <w:highlight w:val="none"/>
        </w:rPr>
        <w:t xml:space="preserve">.</w:t>
      </w:r>
      <w:r>
        <w:rPr>
          <w:bCs/>
          <w:iCs/>
          <w:highlight w:val="none"/>
        </w:rPr>
      </w:r>
      <w:r>
        <w:rPr>
          <w:bCs/>
          <w:iCs/>
          <w:highlight w:val="none"/>
        </w:rPr>
      </w:r>
    </w:p>
    <w:tbl>
      <w:tblPr>
        <w:tblW w:w="4898" w:type="pct"/>
        <w:tblInd w:w="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68"/>
        <w:gridCol w:w="2569"/>
        <w:gridCol w:w="2569"/>
        <w:gridCol w:w="23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/>
        </w:trPr>
        <w:tc>
          <w:tcPr>
            <w:gridSpan w:val="3"/>
            <w:tcW w:w="7706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 xml:space="preserve">Начальная (максимальная) цена дого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 xml:space="preserve">вора, руб.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</w:r>
          </w:p>
        </w:tc>
        <w:tc>
          <w:tcPr>
            <w:tcW w:w="2359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 xml:space="preserve">Срок 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  <w:t xml:space="preserve">поставки</w:t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b/>
                <w:bCs/>
                <w:color w:val="000000"/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/>
        </w:trPr>
        <w:tc>
          <w:tcPr>
            <w:tcW w:w="2568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без НДС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2569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НДС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2569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с НДС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2359" w:type="dxa"/>
            <w:vAlign w:val="top"/>
            <w:vMerge w:val="continue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/>
        </w:trPr>
        <w:tc>
          <w:tcPr>
            <w:tcW w:w="2568" w:type="dxa"/>
            <w:vAlign w:val="center"/>
            <w:textDirection w:val="lrTb"/>
            <w:noWrap/>
          </w:tcPr>
          <w:p>
            <w:pPr>
              <w:pStyle w:val="1104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none"/>
              </w:rPr>
              <w:t xml:space="preserve">2 188 401,62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2569" w:type="dxa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none"/>
              </w:rPr>
              <w:t xml:space="preserve">437 680,32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2569" w:type="dxa"/>
            <w:vAlign w:val="center"/>
            <w:textDirection w:val="lrTb"/>
            <w:noWrap/>
          </w:tcPr>
          <w:p>
            <w:pPr>
              <w:pStyle w:val="1104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none"/>
              </w:rPr>
              <w:t xml:space="preserve">2 626 081,94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2359" w:type="dxa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none"/>
              </w:rPr>
              <w:t xml:space="preserve">1</w:t>
            </w:r>
            <w:r>
              <w:rPr>
                <w:sz w:val="20"/>
                <w:szCs w:val="20"/>
                <w:highlight w:val="none"/>
              </w:rPr>
              <w:t xml:space="preserve">2</w:t>
            </w:r>
            <w:r>
              <w:rPr>
                <w:sz w:val="20"/>
                <w:szCs w:val="20"/>
                <w:highlight w:val="none"/>
              </w:rPr>
              <w:t xml:space="preserve">.01.</w:t>
            </w:r>
            <w:r>
              <w:rPr>
                <w:sz w:val="20"/>
                <w:szCs w:val="20"/>
                <w:highlight w:val="none"/>
              </w:rPr>
              <w:t xml:space="preserve">2026</w:t>
            </w:r>
            <w:r>
              <w:rPr>
                <w:sz w:val="20"/>
                <w:szCs w:val="20"/>
                <w:highlight w:val="none"/>
              </w:rPr>
              <w:t xml:space="preserve"> – 31.03.</w:t>
            </w:r>
            <w:r>
              <w:rPr>
                <w:sz w:val="20"/>
                <w:szCs w:val="20"/>
                <w:highlight w:val="none"/>
              </w:rPr>
              <w:t xml:space="preserve">2026</w:t>
            </w:r>
            <w:r>
              <w:rPr>
                <w:color w:val="000000"/>
                <w:sz w:val="20"/>
                <w:szCs w:val="20"/>
                <w:highlight w:val="yellow"/>
              </w:rPr>
            </w:r>
            <w:r>
              <w:rPr>
                <w:color w:val="000000"/>
                <w:sz w:val="20"/>
                <w:szCs w:val="20"/>
                <w:highlight w:val="yellow"/>
              </w:rPr>
            </w:r>
          </w:p>
        </w:tc>
      </w:tr>
    </w:tbl>
    <w:p>
      <w:pPr>
        <w:pStyle w:val="1069"/>
        <w:ind w:right="6" w:firstLine="709"/>
        <w:jc w:val="both"/>
        <w:tabs>
          <w:tab w:val="num" w:pos="-567" w:leader="none"/>
        </w:tabs>
      </w:pPr>
      <w:r>
        <w:t xml:space="preserve">Классификация </w:t>
      </w:r>
      <w:r>
        <w:rPr>
          <w:bCs/>
          <w:iCs/>
        </w:rPr>
        <w:t xml:space="preserve">товаров</w:t>
      </w:r>
      <w:r>
        <w:t xml:space="preserve">, работ, услуг:</w:t>
      </w:r>
      <w:r/>
    </w:p>
    <w:tbl>
      <w:tblPr>
        <w:tblW w:w="0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44"/>
        <w:gridCol w:w="3686"/>
        <w:gridCol w:w="28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87"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Код ОКПД 2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Код ОКВЭД 2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Количество (ед. измерения)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4" w:type="dxa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19</w:t>
            </w:r>
            <w:r>
              <w:rPr>
                <w:sz w:val="20"/>
                <w:szCs w:val="20"/>
                <w:highlight w:val="none"/>
              </w:rPr>
              <w:t xml:space="preserve">.20 </w:t>
            </w:r>
            <w:r>
              <w:rPr>
                <w:sz w:val="20"/>
                <w:szCs w:val="20"/>
                <w:highlight w:val="none"/>
              </w:rPr>
              <w:t xml:space="preserve">Н</w:t>
            </w:r>
            <w:r>
              <w:rPr>
                <w:sz w:val="20"/>
                <w:szCs w:val="20"/>
                <w:highlight w:val="none"/>
              </w:rPr>
              <w:t xml:space="preserve">е</w:t>
            </w:r>
            <w:r>
              <w:rPr>
                <w:sz w:val="20"/>
                <w:szCs w:val="20"/>
                <w:highlight w:val="none"/>
              </w:rPr>
              <w:t xml:space="preserve">ф</w:t>
            </w:r>
            <w:r>
              <w:rPr>
                <w:sz w:val="20"/>
                <w:szCs w:val="20"/>
                <w:highlight w:val="none"/>
              </w:rPr>
              <w:t xml:space="preserve">т</w:t>
            </w:r>
            <w:r>
              <w:rPr>
                <w:sz w:val="20"/>
                <w:szCs w:val="20"/>
                <w:highlight w:val="none"/>
              </w:rPr>
              <w:t xml:space="preserve">е</w:t>
            </w:r>
            <w:r>
              <w:rPr>
                <w:sz w:val="20"/>
                <w:szCs w:val="20"/>
                <w:highlight w:val="none"/>
              </w:rPr>
              <w:t xml:space="preserve">п</w:t>
            </w:r>
            <w:r>
              <w:rPr>
                <w:sz w:val="20"/>
                <w:szCs w:val="20"/>
                <w:highlight w:val="none"/>
              </w:rPr>
              <w:t xml:space="preserve">р</w:t>
            </w:r>
            <w:r>
              <w:rPr>
                <w:sz w:val="20"/>
                <w:szCs w:val="20"/>
                <w:highlight w:val="none"/>
              </w:rPr>
              <w:t xml:space="preserve">о</w:t>
            </w:r>
            <w:r>
              <w:rPr>
                <w:sz w:val="20"/>
                <w:szCs w:val="20"/>
                <w:highlight w:val="none"/>
              </w:rPr>
              <w:t xml:space="preserve">д</w:t>
            </w:r>
            <w:r>
              <w:rPr>
                <w:sz w:val="20"/>
                <w:szCs w:val="20"/>
                <w:highlight w:val="none"/>
              </w:rPr>
              <w:t xml:space="preserve">у</w:t>
            </w:r>
            <w:r>
              <w:rPr>
                <w:sz w:val="20"/>
                <w:szCs w:val="20"/>
                <w:highlight w:val="none"/>
              </w:rPr>
              <w:t xml:space="preserve">к</w:t>
            </w:r>
            <w:r>
              <w:rPr>
                <w:sz w:val="20"/>
                <w:szCs w:val="20"/>
                <w:highlight w:val="none"/>
              </w:rPr>
              <w:t xml:space="preserve">т</w:t>
            </w:r>
            <w:r>
              <w:rPr>
                <w:sz w:val="20"/>
                <w:szCs w:val="20"/>
                <w:highlight w:val="none"/>
              </w:rPr>
              <w:t xml:space="preserve">ы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1104"/>
              <w:ind w:right="114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19</w:t>
            </w:r>
            <w:r>
              <w:rPr>
                <w:sz w:val="20"/>
                <w:szCs w:val="20"/>
                <w:highlight w:val="none"/>
              </w:rPr>
              <w:t xml:space="preserve">.20 </w:t>
            </w:r>
            <w:r>
              <w:rPr>
                <w:sz w:val="20"/>
                <w:szCs w:val="20"/>
                <w:highlight w:val="none"/>
              </w:rPr>
              <w:t xml:space="preserve">Н</w:t>
            </w:r>
            <w:r>
              <w:rPr>
                <w:sz w:val="20"/>
                <w:szCs w:val="20"/>
                <w:highlight w:val="none"/>
              </w:rPr>
              <w:t xml:space="preserve">е</w:t>
            </w:r>
            <w:r>
              <w:rPr>
                <w:sz w:val="20"/>
                <w:szCs w:val="20"/>
                <w:highlight w:val="none"/>
              </w:rPr>
              <w:t xml:space="preserve">ф</w:t>
            </w:r>
            <w:r>
              <w:rPr>
                <w:sz w:val="20"/>
                <w:szCs w:val="20"/>
                <w:highlight w:val="none"/>
              </w:rPr>
              <w:t xml:space="preserve">т</w:t>
            </w:r>
            <w:r>
              <w:rPr>
                <w:sz w:val="20"/>
                <w:szCs w:val="20"/>
                <w:highlight w:val="none"/>
              </w:rPr>
              <w:t xml:space="preserve">е</w:t>
            </w:r>
            <w:r>
              <w:rPr>
                <w:sz w:val="20"/>
                <w:szCs w:val="20"/>
                <w:highlight w:val="none"/>
              </w:rPr>
              <w:t xml:space="preserve">п</w:t>
            </w:r>
            <w:r>
              <w:rPr>
                <w:sz w:val="20"/>
                <w:szCs w:val="20"/>
                <w:highlight w:val="none"/>
              </w:rPr>
              <w:t xml:space="preserve">р</w:t>
            </w:r>
            <w:r>
              <w:rPr>
                <w:sz w:val="20"/>
                <w:szCs w:val="20"/>
                <w:highlight w:val="none"/>
              </w:rPr>
              <w:t xml:space="preserve">о</w:t>
            </w:r>
            <w:r>
              <w:rPr>
                <w:sz w:val="20"/>
                <w:szCs w:val="20"/>
                <w:highlight w:val="none"/>
              </w:rPr>
              <w:t xml:space="preserve">д</w:t>
            </w:r>
            <w:r>
              <w:rPr>
                <w:sz w:val="20"/>
                <w:szCs w:val="20"/>
                <w:highlight w:val="none"/>
              </w:rPr>
              <w:t xml:space="preserve">у</w:t>
            </w:r>
            <w:r>
              <w:rPr>
                <w:sz w:val="20"/>
                <w:szCs w:val="20"/>
                <w:highlight w:val="none"/>
              </w:rPr>
              <w:t xml:space="preserve">к</w:t>
            </w:r>
            <w:r>
              <w:rPr>
                <w:sz w:val="20"/>
                <w:szCs w:val="20"/>
                <w:highlight w:val="none"/>
              </w:rPr>
              <w:t xml:space="preserve">т</w:t>
            </w:r>
            <w:r>
              <w:rPr>
                <w:sz w:val="20"/>
                <w:szCs w:val="20"/>
                <w:highlight w:val="none"/>
              </w:rPr>
              <w:t xml:space="preserve">ы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</w:t>
            </w:r>
            <w:r>
              <w:rPr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sz w:val="20"/>
                <w:szCs w:val="20"/>
                <w:highlight w:val="none"/>
              </w:rPr>
              <w:t xml:space="preserve">Условная единица(876)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pStyle w:val="1069"/>
        <w:ind w:right="6"/>
        <w:jc w:val="both"/>
        <w:rPr>
          <w:bCs/>
          <w:iCs/>
        </w:rPr>
      </w:pPr>
      <w:r>
        <w:rPr>
          <w:bCs/>
          <w:iCs/>
        </w:rPr>
      </w:r>
      <w:r>
        <w:rPr>
          <w:bCs/>
          <w:iCs/>
        </w:rPr>
      </w:r>
      <w:r>
        <w:rPr>
          <w:bCs/>
          <w:iCs/>
        </w:rPr>
      </w:r>
    </w:p>
    <w:p>
      <w:pPr>
        <w:pStyle w:val="1087"/>
        <w:ind w:left="0" w:firstLine="709"/>
        <w:rPr>
          <w:szCs w:val="24"/>
        </w:rPr>
      </w:pPr>
      <w:r>
        <w:rPr>
          <w:szCs w:val="24"/>
          <w:lang w:val="ru-RU"/>
        </w:rPr>
        <w:t xml:space="preserve">Заявки</w:t>
      </w:r>
      <w:r>
        <w:rPr>
          <w:szCs w:val="24"/>
        </w:rPr>
        <w:t xml:space="preserve"> на ЭТП «РТС Тендер» поступ</w:t>
      </w:r>
      <w:r>
        <w:rPr>
          <w:szCs w:val="24"/>
          <w:highlight w:val="none"/>
        </w:rPr>
        <w:t xml:space="preserve">ил</w:t>
      </w:r>
      <w:r>
        <w:rPr>
          <w:szCs w:val="24"/>
          <w:highlight w:val="none"/>
          <w:lang w:val="ru-RU"/>
        </w:rPr>
        <w:t xml:space="preserve">и</w:t>
      </w:r>
      <w:r>
        <w:rPr>
          <w:szCs w:val="24"/>
          <w:highlight w:val="none"/>
        </w:rPr>
        <w:t xml:space="preserve"> от </w:t>
      </w:r>
      <w:r>
        <w:rPr>
          <w:szCs w:val="24"/>
          <w:highlight w:val="none"/>
          <w:lang w:val="ru-RU"/>
        </w:rPr>
        <w:t xml:space="preserve">3</w:t>
      </w:r>
      <w:r>
        <w:rPr>
          <w:szCs w:val="24"/>
          <w:highlight w:val="none"/>
        </w:rPr>
        <w:t xml:space="preserve"> Уч</w:t>
      </w:r>
      <w:r>
        <w:rPr>
          <w:szCs w:val="24"/>
        </w:rPr>
        <w:t xml:space="preserve">астник</w:t>
      </w:r>
      <w:r>
        <w:rPr>
          <w:szCs w:val="24"/>
          <w:lang w:val="ru-RU"/>
        </w:rPr>
        <w:t xml:space="preserve">ов</w:t>
      </w:r>
      <w:r>
        <w:rPr>
          <w:szCs w:val="24"/>
        </w:rPr>
        <w:t xml:space="preserve">:</w:t>
      </w:r>
      <w:r>
        <w:rPr>
          <w:szCs w:val="24"/>
        </w:rPr>
      </w:r>
      <w:r>
        <w:rPr>
          <w:szCs w:val="24"/>
        </w:rPr>
      </w:r>
    </w:p>
    <w:tbl>
      <w:tblPr>
        <w:tblW w:w="1006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560"/>
        <w:gridCol w:w="2551"/>
        <w:gridCol w:w="595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/>
        </w:trPr>
        <w:tc>
          <w:tcPr>
            <w:tcW w:w="1560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Порядковый номер заявки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Дата и время подачи заявки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953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Наименование участника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/>
        </w:trPr>
        <w:tc>
          <w:tcPr>
            <w:tcW w:w="1560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02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.12.2025 11:45 (МСК)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/>
          </w:tcPr>
          <w:p>
            <w:pPr>
              <w:pStyle w:val="1104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«ТД ФЕНИКС»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</w:p>
          <w:p>
            <w:pPr>
              <w:pStyle w:val="1104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  <w:t xml:space="preserve">115487, Российская Федерация, г. Москва, УЛ. НАГАТИНСКАЯ, Д. 16, ПОМЕЩ. 1/10/1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/>
        </w:trPr>
        <w:tc>
          <w:tcPr>
            <w:tcW w:w="1560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03.12.2025 14:12 (МСК)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/>
          </w:tcPr>
          <w:p>
            <w:pPr>
              <w:pStyle w:val="1096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«СВ-ЛОГИСТИК»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  <w:p>
            <w:pPr>
              <w:pStyle w:val="1096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  <w:t xml:space="preserve">115304, Российская Федерация, МОСКВА, КАНТЕМИРОВСКАЯ, ДОМ 3,КОРПУС 3, Э 1 ПОМ 8 К 5 ОФ 08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)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/>
        </w:trPr>
        <w:tc>
          <w:tcPr>
            <w:tcW w:w="1560" w:type="dxa"/>
            <w:vAlign w:val="center"/>
            <w:textDirection w:val="lrTb"/>
            <w:noWrap/>
          </w:tcPr>
          <w:p>
            <w:pPr>
              <w:pStyle w:val="1069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04.12.2025 05:57 (МСК)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/>
          </w:tcPr>
          <w:p>
            <w:pPr>
              <w:pStyle w:val="1096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«ЭНРОН Групп»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  <w:p>
            <w:pPr>
              <w:pStyle w:val="1096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none"/>
              </w:rPr>
              <w:t xml:space="preserve">665831, ИРКУТСКАЯ ОБЛАСТЬ, г.о. АНГАРСКИЙ, Г АНГАРСК, КВ-Л 257, СТР. 10/2, ПОМЕЩ. 8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)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</w:tr>
    </w:tbl>
    <w:p>
      <w:pPr>
        <w:pStyle w:val="1086"/>
        <w:numPr>
          <w:ilvl w:val="0"/>
          <w:numId w:val="27"/>
        </w:numPr>
        <w:ind w:left="1077" w:hanging="1077"/>
        <w:keepNext/>
        <w:spacing w:before="24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 xml:space="preserve">Результаты </w:t>
      </w:r>
      <w:r>
        <w:rPr>
          <w:b/>
          <w:bCs/>
          <w:caps/>
          <w:sz w:val="24"/>
          <w:szCs w:val="24"/>
          <w:lang w:val="ru-RU"/>
        </w:rPr>
        <w:t xml:space="preserve">рассмотрения заявок Участников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  <w:lang w:val="ru-RU"/>
        </w:rPr>
      </w:r>
      <w:r>
        <w:rPr>
          <w:b/>
          <w:bCs/>
          <w:caps/>
          <w:sz w:val="24"/>
          <w:szCs w:val="24"/>
          <w:lang w:val="ru-RU"/>
        </w:rPr>
      </w:r>
    </w:p>
    <w:p>
      <w:pPr>
        <w:pStyle w:val="1087"/>
        <w:ind w:left="0" w:firstLine="709"/>
        <w:tabs>
          <w:tab w:val="left" w:pos="741" w:leader="none"/>
        </w:tabs>
        <w:rPr>
          <w:szCs w:val="24"/>
          <w:highlight w:val="none"/>
        </w:rPr>
      </w:pPr>
      <w:r>
        <w:rPr>
          <w:szCs w:val="24"/>
          <w:lang w:val="ru-RU"/>
        </w:rPr>
        <w:t xml:space="preserve">На этапе рассмотрения заявок</w:t>
      </w:r>
      <w:r>
        <w:rPr>
          <w:szCs w:val="24"/>
          <w:highlight w:val="none"/>
          <w:lang w:val="ru-RU"/>
        </w:rPr>
        <w:t xml:space="preserve"> Участников 3</w:t>
      </w:r>
      <w:r>
        <w:rPr>
          <w:szCs w:val="24"/>
          <w:highlight w:val="none"/>
          <w:lang w:val="ru-RU"/>
        </w:rPr>
        <w:t xml:space="preserve"> З</w:t>
      </w:r>
      <w:r>
        <w:rPr>
          <w:bCs/>
          <w:szCs w:val="24"/>
          <w:highlight w:val="none"/>
          <w:lang w:val="ru-RU"/>
        </w:rPr>
        <w:t xml:space="preserve">аявк</w:t>
      </w:r>
      <w:r>
        <w:rPr>
          <w:bCs/>
          <w:szCs w:val="24"/>
          <w:highlight w:val="none"/>
          <w:lang w:val="ru-RU"/>
        </w:rPr>
        <w:t xml:space="preserve">и</w:t>
      </w:r>
      <w:r>
        <w:rPr>
          <w:bCs/>
          <w:szCs w:val="24"/>
          <w:highlight w:val="none"/>
          <w:lang w:val="ru-RU"/>
        </w:rPr>
        <w:t xml:space="preserve"> допущены</w:t>
      </w:r>
      <w:r>
        <w:rPr>
          <w:bCs/>
          <w:szCs w:val="24"/>
          <w:highlight w:val="none"/>
          <w:lang w:val="ru-RU"/>
        </w:rPr>
        <w:t xml:space="preserve"> к дальнейшему рассмотрению</w:t>
      </w:r>
      <w:r>
        <w:rPr>
          <w:szCs w:val="24"/>
          <w:highlight w:val="none"/>
          <w:lang w:val="ru-RU"/>
        </w:rPr>
        <w:t xml:space="preserve"> </w:t>
      </w:r>
      <w:r>
        <w:rPr>
          <w:szCs w:val="24"/>
          <w:highlight w:val="none"/>
          <w:lang w:val="ru-RU"/>
        </w:rPr>
        <w:t xml:space="preserve">(протокол от 10</w:t>
      </w:r>
      <w:r>
        <w:rPr>
          <w:szCs w:val="24"/>
          <w:highlight w:val="none"/>
          <w:lang w:val="ru-RU"/>
        </w:rPr>
        <w:t xml:space="preserve">.12</w:t>
      </w:r>
      <w:r>
        <w:rPr>
          <w:szCs w:val="24"/>
          <w:highlight w:val="none"/>
          <w:lang w:val="ru-RU"/>
        </w:rPr>
        <w:t xml:space="preserve">.</w:t>
      </w:r>
      <w:r>
        <w:rPr>
          <w:szCs w:val="24"/>
          <w:highlight w:val="none"/>
          <w:lang w:val="ru-RU"/>
        </w:rPr>
        <w:t xml:space="preserve">2025</w:t>
      </w:r>
      <w:r>
        <w:rPr>
          <w:szCs w:val="24"/>
          <w:highlight w:val="none"/>
          <w:lang w:val="ru-RU"/>
        </w:rPr>
        <w:t xml:space="preserve"> № 1</w:t>
      </w:r>
      <w:r>
        <w:rPr>
          <w:szCs w:val="24"/>
          <w:highlight w:val="none"/>
          <w:lang w:val="ru-RU"/>
        </w:rPr>
        <w:t xml:space="preserve">/</w:t>
      </w:r>
      <w:r>
        <w:rPr>
          <w:szCs w:val="24"/>
          <w:highlight w:val="none"/>
          <w:lang w:val="ru-RU"/>
        </w:rPr>
        <w:t xml:space="preserve">3</w:t>
      </w:r>
      <w:r>
        <w:rPr>
          <w:szCs w:val="24"/>
          <w:highlight w:val="none"/>
          <w:lang w:val="ru-RU"/>
        </w:rPr>
        <w:t xml:space="preserve">6</w:t>
      </w:r>
      <w:r>
        <w:rPr>
          <w:szCs w:val="24"/>
          <w:highlight w:val="none"/>
          <w:lang w:val="ru-RU"/>
        </w:rPr>
        <w:t xml:space="preserve">8</w:t>
      </w:r>
      <w:r>
        <w:rPr>
          <w:szCs w:val="24"/>
          <w:highlight w:val="none"/>
          <w:lang w:val="ru-RU"/>
        </w:rPr>
        <w:t xml:space="preserve">0</w:t>
      </w:r>
      <w:r>
        <w:rPr>
          <w:szCs w:val="24"/>
          <w:highlight w:val="none"/>
          <w:lang w:val="ru-RU"/>
        </w:rPr>
        <w:t xml:space="preserve">6</w:t>
      </w:r>
      <w:r>
        <w:rPr>
          <w:szCs w:val="24"/>
          <w:highlight w:val="none"/>
          <w:lang w:val="ru-RU"/>
        </w:rPr>
        <w:t xml:space="preserve">0</w:t>
      </w:r>
      <w:r>
        <w:rPr>
          <w:szCs w:val="24"/>
          <w:highlight w:val="none"/>
          <w:lang w:val="ru-RU"/>
        </w:rPr>
        <w:t xml:space="preserve">4</w:t>
      </w:r>
      <w:r>
        <w:rPr>
          <w:szCs w:val="24"/>
          <w:highlight w:val="none"/>
          <w:lang w:val="ru-RU"/>
        </w:rPr>
        <w:t xml:space="preserve">).</w:t>
      </w:r>
      <w:r>
        <w:rPr>
          <w:szCs w:val="24"/>
          <w:highlight w:val="none"/>
        </w:rPr>
      </w:r>
      <w:r>
        <w:rPr>
          <w:szCs w:val="24"/>
          <w:highlight w:val="none"/>
        </w:rPr>
      </w:r>
    </w:p>
    <w:tbl>
      <w:tblPr>
        <w:tblW w:w="4898" w:type="pct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560"/>
        <w:gridCol w:w="2691"/>
        <w:gridCol w:w="1844"/>
        <w:gridCol w:w="397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01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75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Порядковый номер заявки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7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Наименование участника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6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Принятое решение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Основание для отклонения заявки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4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75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7" w:type="pct"/>
            <w:vAlign w:val="center"/>
            <w:textDirection w:val="lrTb"/>
            <w:noWrap w:val="false"/>
          </w:tcPr>
          <w:p>
            <w:pPr>
              <w:pStyle w:val="1104"/>
              <w:jc w:val="center"/>
              <w:spacing w:line="276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«ТД ФЕНИКС»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6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соответствует требованиям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4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75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7" w:type="pct"/>
            <w:vAlign w:val="center"/>
            <w:textDirection w:val="lrTb"/>
            <w:noWrap w:val="false"/>
          </w:tcPr>
          <w:p>
            <w:pPr>
              <w:pStyle w:val="1104"/>
              <w:jc w:val="center"/>
              <w:spacing w:line="276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«СВ-ЛОГИСТИК»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6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соответствует требованиям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4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75" w:type="pct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7" w:type="pct"/>
            <w:vAlign w:val="center"/>
            <w:textDirection w:val="lrTb"/>
            <w:noWrap w:val="false"/>
          </w:tcPr>
          <w:p>
            <w:pPr>
              <w:pStyle w:val="1104"/>
              <w:jc w:val="center"/>
              <w:spacing w:line="276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«ЭНРОН Групп»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6" w:type="pct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соответствует требованиям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pct"/>
            <w:vAlign w:val="center"/>
            <w:textDirection w:val="lrTb"/>
            <w:noWrap w:val="false"/>
          </w:tcPr>
          <w:p>
            <w:pPr>
              <w:pStyle w:val="1104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pStyle w:val="1087"/>
        <w:ind w:left="0"/>
        <w:tabs>
          <w:tab w:val="left" w:pos="570" w:leader="none"/>
        </w:tabs>
        <w:rPr>
          <w:b/>
          <w:sz w:val="2"/>
          <w:szCs w:val="2"/>
          <w:lang w:val="ru-RU"/>
        </w:rPr>
      </w:pPr>
      <w:r>
        <w:rPr>
          <w:b/>
          <w:sz w:val="2"/>
          <w:szCs w:val="2"/>
          <w:lang w:val="ru-RU"/>
        </w:rPr>
      </w:r>
      <w:r>
        <w:rPr>
          <w:b/>
          <w:sz w:val="2"/>
          <w:szCs w:val="2"/>
          <w:lang w:val="ru-RU"/>
        </w:rPr>
      </w:r>
      <w:r>
        <w:rPr>
          <w:b/>
          <w:sz w:val="2"/>
          <w:szCs w:val="2"/>
          <w:lang w:val="ru-RU"/>
        </w:rPr>
      </w:r>
    </w:p>
    <w:p>
      <w:pPr>
        <w:pStyle w:val="1086"/>
        <w:numPr>
          <w:ilvl w:val="0"/>
          <w:numId w:val="27"/>
        </w:numPr>
        <w:ind w:left="1077" w:hanging="1077"/>
        <w:keepNext/>
        <w:spacing w:before="24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 xml:space="preserve">сведения о ценов</w:t>
      </w:r>
      <w:r>
        <w:rPr>
          <w:b/>
          <w:bCs/>
          <w:caps/>
          <w:sz w:val="24"/>
          <w:szCs w:val="24"/>
          <w:lang w:val="ru-RU"/>
        </w:rPr>
        <w:t xml:space="preserve">ых</w:t>
      </w:r>
      <w:r>
        <w:rPr>
          <w:b/>
          <w:bCs/>
          <w:caps/>
          <w:sz w:val="24"/>
          <w:szCs w:val="24"/>
          <w:lang w:val="ru-RU"/>
        </w:rPr>
        <w:t xml:space="preserve"> </w:t>
      </w:r>
      <w:r>
        <w:rPr>
          <w:b/>
          <w:bCs/>
          <w:caps/>
          <w:sz w:val="24"/>
          <w:szCs w:val="24"/>
          <w:lang w:val="ru-RU"/>
        </w:rPr>
        <w:t xml:space="preserve">предложени</w:t>
      </w:r>
      <w:r>
        <w:rPr>
          <w:b/>
          <w:bCs/>
          <w:caps/>
          <w:sz w:val="24"/>
          <w:szCs w:val="24"/>
          <w:lang w:val="ru-RU"/>
        </w:rPr>
        <w:t xml:space="preserve">ях</w:t>
      </w:r>
      <w:r>
        <w:rPr>
          <w:b/>
          <w:bCs/>
          <w:caps/>
          <w:sz w:val="24"/>
          <w:szCs w:val="24"/>
        </w:rPr>
        <w:t xml:space="preserve"> и результатах оценки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  <w:lang w:val="ru-RU"/>
        </w:rPr>
      </w:r>
      <w:r>
        <w:rPr>
          <w:b/>
          <w:bCs/>
          <w:caps/>
          <w:sz w:val="24"/>
          <w:szCs w:val="24"/>
          <w:lang w:val="ru-RU"/>
        </w:rPr>
      </w:r>
    </w:p>
    <w:p>
      <w:pPr>
        <w:pStyle w:val="1087"/>
        <w:ind w:left="0" w:firstLine="709"/>
        <w:tabs>
          <w:tab w:val="left" w:pos="741" w:leader="none"/>
        </w:tabs>
        <w:rPr>
          <w:bCs/>
          <w:szCs w:val="24"/>
          <w:lang w:val="ru-RU"/>
        </w:rPr>
      </w:pPr>
      <w:r>
        <w:rPr>
          <w:bCs/>
          <w:szCs w:val="24"/>
          <w:lang w:val="ru-RU"/>
        </w:rPr>
        <w:t xml:space="preserve">На ЭП «РТС-тендер» была проведена процедура на понижение цены (переторжка) с приглашением к участию в процедуре Участников, Заявки которых признаны соответствующими требованиям Извещения.</w:t>
      </w:r>
      <w:r>
        <w:rPr>
          <w:bCs/>
          <w:szCs w:val="24"/>
          <w:lang w:val="ru-RU"/>
        </w:rPr>
        <w:t xml:space="preserve">:</w:t>
      </w:r>
      <w:r>
        <w:rPr>
          <w:bCs/>
          <w:szCs w:val="24"/>
          <w:lang w:val="ru-RU"/>
        </w:rPr>
      </w:r>
      <w:r>
        <w:rPr>
          <w:bCs/>
          <w:szCs w:val="24"/>
          <w:lang w:val="ru-RU"/>
        </w:rPr>
      </w:r>
    </w:p>
    <w:tbl>
      <w:tblPr>
        <w:tblW w:w="4922" w:type="pct"/>
        <w:tblInd w:w="5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1339"/>
        <w:gridCol w:w="2114"/>
        <w:gridCol w:w="1559"/>
        <w:gridCol w:w="1568"/>
        <w:gridCol w:w="1408"/>
        <w:gridCol w:w="824"/>
        <w:gridCol w:w="1302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324"/>
          <w:tblHeader/>
        </w:trPr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339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Порядковый номер заявки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114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Наименование участника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7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Цена предложения, рублей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top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Ценовое предложение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с учетом преимущества по нац. режиму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824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Итоговая позиция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302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Результат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280"/>
          <w:tblHeader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9" w:type="dxa"/>
            <w:vAlign w:val="center"/>
            <w:vMerge w:val="continue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4" w:type="dxa"/>
            <w:vAlign w:val="center"/>
            <w:vMerge w:val="continue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без НДС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top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с НДС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top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без НДС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4" w:type="dxa"/>
            <w:vAlign w:val="center"/>
            <w:vMerge w:val="continue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2" w:type="dxa"/>
            <w:vAlign w:val="top"/>
            <w:vMerge w:val="continue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4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9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2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4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«СВ-ЛОГИСТИК»</w:t>
            </w:r>
            <w:r>
              <w:rPr>
                <w:bCs/>
                <w:sz w:val="20"/>
                <w:szCs w:val="20"/>
                <w:highlight w:val="yellow"/>
              </w:rPr>
            </w:r>
            <w:r>
              <w:rPr>
                <w:bCs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1 841 000,00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2 209 200,00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1 841 000,00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4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2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</w:rPr>
              <w:t xml:space="preserve">Победитель</w:t>
            </w:r>
            <w:r>
              <w:rPr>
                <w:b/>
                <w:bCs/>
                <w:sz w:val="20"/>
                <w:szCs w:val="20"/>
                <w:lang w:eastAsia="en-US"/>
              </w:rPr>
            </w:r>
            <w:r>
              <w:rPr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4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9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4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«ТД ФЕНИКС»</w:t>
            </w:r>
            <w:r>
              <w:rPr>
                <w:bCs/>
                <w:sz w:val="20"/>
                <w:szCs w:val="20"/>
                <w:highlight w:val="yellow"/>
              </w:rPr>
            </w:r>
            <w:r>
              <w:rPr>
                <w:bCs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1 983 334,00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2 380 000,80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1 983 334,00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4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2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</w:rPr>
              <w:t xml:space="preserve">Второе место</w:t>
            </w:r>
            <w:r>
              <w:rPr>
                <w:b/>
                <w:bCs/>
                <w:sz w:val="20"/>
                <w:szCs w:val="20"/>
                <w:lang w:eastAsia="en-US"/>
              </w:rPr>
            </w:r>
            <w:r>
              <w:rPr>
                <w:b/>
                <w:bCs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4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9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3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4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highlight w:val="none"/>
              </w:rPr>
              <w:t xml:space="preserve">ООО «ЭНРОН Групп»</w:t>
            </w:r>
            <w:r>
              <w:rPr>
                <w:bCs/>
                <w:sz w:val="20"/>
                <w:szCs w:val="20"/>
                <w:highlight w:val="yellow"/>
              </w:rPr>
            </w:r>
            <w:r>
              <w:rPr>
                <w:bCs/>
                <w:sz w:val="20"/>
                <w:szCs w:val="20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  <w:highlight w:val="yellow"/>
                <w:lang w:eastAsia="en-US"/>
              </w:rPr>
            </w:pPr>
            <w:r>
              <w:rPr>
                <w:bCs/>
                <w:sz w:val="20"/>
                <w:szCs w:val="20"/>
                <w:highlight w:val="none"/>
                <w:lang w:eastAsia="en-US"/>
              </w:rPr>
              <w:t xml:space="preserve">2 188 200,00</w:t>
            </w:r>
            <w:r>
              <w:rPr>
                <w:bCs/>
                <w:sz w:val="20"/>
                <w:szCs w:val="20"/>
                <w:highlight w:val="yellow"/>
                <w:lang w:eastAsia="en-US"/>
              </w:rPr>
            </w:r>
            <w:r>
              <w:rPr>
                <w:bCs/>
                <w:sz w:val="20"/>
                <w:szCs w:val="20"/>
                <w:highlight w:val="yellow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bCs/>
                <w:sz w:val="20"/>
                <w:szCs w:val="20"/>
                <w:highlight w:val="none"/>
                <w:lang w:val="en-US"/>
              </w:rPr>
              <w:t xml:space="preserve">2 625 840,00</w:t>
            </w:r>
            <w:r>
              <w:rPr>
                <w:bCs/>
                <w:sz w:val="20"/>
                <w:szCs w:val="20"/>
                <w:highlight w:val="yellow"/>
                <w:lang w:val="en-US"/>
              </w:rPr>
            </w:r>
            <w:r>
              <w:rPr>
                <w:bCs/>
                <w:sz w:val="20"/>
                <w:szCs w:val="20"/>
                <w:highlight w:val="yellow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vAlign w:val="center"/>
            <w:vMerge w:val="restart"/>
            <w:textDirection w:val="lrTb"/>
            <w:noWrap w:val="false"/>
          </w:tcPr>
          <w:p>
            <w:pPr>
              <w:pStyle w:val="1104"/>
              <w:jc w:val="center"/>
              <w:rPr>
                <w:bCs/>
                <w:sz w:val="20"/>
                <w:szCs w:val="20"/>
                <w:highlight w:val="yellow"/>
                <w:lang w:eastAsia="en-US"/>
              </w:rPr>
            </w:pPr>
            <w:r>
              <w:rPr>
                <w:bCs/>
                <w:sz w:val="20"/>
                <w:szCs w:val="20"/>
                <w:highlight w:val="none"/>
                <w:lang w:eastAsia="en-US"/>
              </w:rPr>
              <w:t xml:space="preserve">2 188 200,00</w:t>
            </w:r>
            <w:r>
              <w:rPr>
                <w:bCs/>
                <w:sz w:val="20"/>
                <w:szCs w:val="20"/>
                <w:highlight w:val="yellow"/>
                <w:lang w:eastAsia="en-US"/>
              </w:rPr>
            </w:r>
            <w:r>
              <w:rPr>
                <w:bCs/>
                <w:sz w:val="20"/>
                <w:szCs w:val="20"/>
                <w:highlight w:val="yellow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4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3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2" w:type="dxa"/>
            <w:vAlign w:val="center"/>
            <w:vMerge w:val="restart"/>
            <w:textDirection w:val="lrTb"/>
            <w:noWrap w:val="false"/>
          </w:tcPr>
          <w:p>
            <w:pPr>
              <w:pStyle w:val="106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Третье место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</w:tbl>
    <w:p>
      <w:pPr>
        <w:pStyle w:val="1086"/>
        <w:numPr>
          <w:ilvl w:val="0"/>
          <w:numId w:val="27"/>
        </w:numPr>
        <w:ind w:left="1077" w:hanging="1077"/>
        <w:keepNext/>
        <w:spacing w:before="24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 xml:space="preserve">РЕШЕНИЕ ЗАКУПОЧНОЙ КОМИССИИ.</w:t>
      </w:r>
      <w:r>
        <w:rPr>
          <w:b/>
          <w:bCs/>
          <w:caps/>
          <w:sz w:val="24"/>
          <w:szCs w:val="24"/>
          <w:lang w:val="ru-RU"/>
        </w:rPr>
      </w:r>
      <w:r>
        <w:rPr>
          <w:b/>
          <w:bCs/>
          <w:caps/>
          <w:sz w:val="24"/>
          <w:szCs w:val="24"/>
          <w:lang w:val="ru-RU"/>
        </w:rPr>
      </w:r>
    </w:p>
    <w:p>
      <w:pPr>
        <w:pStyle w:val="1134"/>
        <w:numPr>
          <w:ilvl w:val="1"/>
          <w:numId w:val="45"/>
        </w:numPr>
        <w:ind w:left="0" w:firstLine="709"/>
        <w:jc w:val="both"/>
        <w:tabs>
          <w:tab w:val="left" w:pos="1134" w:leader="none"/>
        </w:tabs>
        <w:rPr>
          <w:b w:val="0"/>
          <w:bCs/>
          <w:sz w:val="24"/>
          <w:szCs w:val="24"/>
          <w:highlight w:val="none"/>
        </w:rPr>
      </w:pPr>
      <w:r>
        <w:rPr>
          <w:b w:val="0"/>
          <w:sz w:val="24"/>
          <w:szCs w:val="24"/>
        </w:rPr>
        <w:t xml:space="preserve">Признать</w:t>
      </w:r>
      <w:r>
        <w:rPr>
          <w:b w:val="0"/>
          <w:bCs/>
          <w:sz w:val="24"/>
          <w:szCs w:val="24"/>
        </w:rPr>
        <w:t xml:space="preserve"> заявку участника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ООО «СВ-ЛОГИСТИК»</w:t>
      </w:r>
      <w:r>
        <w:rPr>
          <w:b w:val="0"/>
          <w:bCs/>
          <w:sz w:val="24"/>
          <w:szCs w:val="24"/>
        </w:rPr>
        <w:t xml:space="preserve"> лучшей и признать данного участника победителем </w:t>
      </w:r>
      <w:r>
        <w:rPr>
          <w:b w:val="0"/>
          <w:bCs/>
          <w:sz w:val="24"/>
          <w:szCs w:val="24"/>
        </w:rPr>
        <w:t xml:space="preserve">за</w:t>
      </w:r>
      <w:r>
        <w:rPr>
          <w:b w:val="0"/>
          <w:bCs/>
          <w:sz w:val="24"/>
          <w:szCs w:val="24"/>
          <w:highlight w:val="none"/>
        </w:rPr>
        <w:t xml:space="preserve">проса котировок в элек</w:t>
      </w:r>
      <w:r>
        <w:rPr>
          <w:b w:val="0"/>
          <w:bCs w:val="0"/>
          <w:sz w:val="24"/>
          <w:szCs w:val="24"/>
          <w:highlight w:val="none"/>
        </w:rPr>
        <w:t xml:space="preserve">тронной форме </w:t>
      </w:r>
      <w:r>
        <w:rPr>
          <w:b w:val="0"/>
          <w:bCs w:val="0"/>
          <w:sz w:val="24"/>
          <w:szCs w:val="24"/>
          <w:highlight w:val="none"/>
        </w:rPr>
        <w:t xml:space="preserve">на право заключения договора </w:t>
      </w:r>
      <w:r>
        <w:rPr>
          <w:b w:val="0"/>
          <w:bCs w:val="0"/>
          <w:sz w:val="24"/>
          <w:szCs w:val="24"/>
          <w:highlight w:val="none"/>
        </w:rPr>
        <w:t xml:space="preserve">поставки </w:t>
      </w:r>
      <w:r>
        <w:rPr>
          <w:b w:val="0"/>
          <w:bCs w:val="0"/>
          <w:sz w:val="24"/>
          <w:szCs w:val="24"/>
          <w:highlight w:val="none"/>
        </w:rPr>
        <w:t xml:space="preserve">масла трансформаторного ГК  для нужд Кузбасского ПМЭС</w:t>
      </w:r>
      <w:r>
        <w:rPr>
          <w:b w:val="0"/>
          <w:bCs w:val="0"/>
          <w:sz w:val="24"/>
          <w:szCs w:val="24"/>
          <w:highlight w:val="none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с </w:t>
      </w:r>
      <w:r>
        <w:rPr>
          <w:b w:val="0"/>
          <w:bCs/>
          <w:sz w:val="24"/>
          <w:szCs w:val="24"/>
          <w:highlight w:val="none"/>
        </w:rPr>
        <w:t xml:space="preserve">ценой заявки</w:t>
      </w:r>
      <w:r>
        <w:rPr>
          <w:b w:val="0"/>
          <w:bCs/>
          <w:sz w:val="24"/>
          <w:szCs w:val="24"/>
          <w:highlight w:val="none"/>
        </w:rPr>
        <w:t xml:space="preserve"> </w:t>
      </w:r>
      <w:r>
        <w:rPr>
          <w:b w:val="0"/>
          <w:bCs/>
          <w:sz w:val="24"/>
          <w:szCs w:val="24"/>
          <w:highlight w:val="none"/>
        </w:rPr>
        <w:t xml:space="preserve">2 209 200,00</w:t>
      </w:r>
      <w:r>
        <w:rPr>
          <w:b w:val="0"/>
          <w:bCs/>
          <w:sz w:val="24"/>
          <w:szCs w:val="24"/>
          <w:highlight w:val="none"/>
        </w:rPr>
        <w:t xml:space="preserve"> </w:t>
      </w:r>
      <w:r>
        <w:rPr>
          <w:b w:val="0"/>
          <w:bCs/>
          <w:sz w:val="24"/>
          <w:szCs w:val="24"/>
          <w:highlight w:val="none"/>
        </w:rPr>
        <w:t xml:space="preserve">рубл</w:t>
      </w:r>
      <w:r>
        <w:rPr>
          <w:b w:val="0"/>
          <w:bCs/>
          <w:sz w:val="24"/>
          <w:szCs w:val="24"/>
          <w:highlight w:val="none"/>
        </w:rPr>
        <w:t xml:space="preserve">ей</w:t>
      </w:r>
      <w:r>
        <w:rPr>
          <w:b w:val="0"/>
          <w:bCs/>
          <w:sz w:val="24"/>
          <w:szCs w:val="24"/>
          <w:highlight w:val="none"/>
        </w:rPr>
        <w:t xml:space="preserve"> </w:t>
      </w:r>
      <w:r>
        <w:rPr>
          <w:b w:val="0"/>
          <w:bCs/>
          <w:sz w:val="24"/>
          <w:szCs w:val="24"/>
          <w:highlight w:val="none"/>
        </w:rPr>
        <w:t xml:space="preserve">с </w:t>
      </w:r>
      <w:r>
        <w:rPr>
          <w:b w:val="0"/>
          <w:bCs/>
          <w:sz w:val="24"/>
          <w:szCs w:val="24"/>
          <w:highlight w:val="none"/>
        </w:rPr>
        <w:t xml:space="preserve">НДС</w:t>
      </w:r>
      <w:r>
        <w:rPr>
          <w:b w:val="0"/>
          <w:bCs/>
          <w:sz w:val="24"/>
          <w:szCs w:val="24"/>
          <w:highlight w:val="none"/>
        </w:rPr>
        <w:t xml:space="preserve">, с</w:t>
      </w:r>
      <w:r>
        <w:rPr>
          <w:b w:val="0"/>
          <w:bCs/>
          <w:sz w:val="24"/>
          <w:szCs w:val="24"/>
          <w:highlight w:val="none"/>
        </w:rPr>
        <w:t xml:space="preserve"> учетом необходимости проведения переговоров о возможности снижения цены заявки участника</w:t>
      </w:r>
      <w:r>
        <w:rPr>
          <w:b w:val="0"/>
          <w:bCs/>
          <w:sz w:val="24"/>
          <w:szCs w:val="24"/>
          <w:highlight w:val="none"/>
        </w:rPr>
        <w:t xml:space="preserve">.</w:t>
      </w:r>
      <w:r>
        <w:rPr>
          <w:b w:val="0"/>
          <w:bCs/>
          <w:sz w:val="24"/>
          <w:szCs w:val="24"/>
          <w:highlight w:val="none"/>
        </w:rPr>
      </w:r>
      <w:r>
        <w:rPr>
          <w:b w:val="0"/>
          <w:bCs/>
          <w:sz w:val="24"/>
          <w:szCs w:val="24"/>
          <w:highlight w:val="none"/>
        </w:rPr>
      </w:r>
    </w:p>
    <w:p>
      <w:pPr>
        <w:pStyle w:val="1134"/>
        <w:numPr>
          <w:ilvl w:val="1"/>
          <w:numId w:val="45"/>
        </w:numPr>
        <w:ind w:left="0" w:firstLine="709"/>
        <w:tabs>
          <w:tab w:val="left" w:pos="1134" w:leader="none"/>
        </w:tabs>
        <w:rPr>
          <w:bCs/>
          <w:highlight w:val="none"/>
        </w:rPr>
      </w:pPr>
      <w:r>
        <w:rPr>
          <w:b w:val="0"/>
          <w:bCs/>
          <w:sz w:val="24"/>
          <w:szCs w:val="24"/>
          <w:highlight w:val="none"/>
        </w:rPr>
        <w:t xml:space="preserve">Филиалу ПАО «</w:t>
      </w:r>
      <w:r>
        <w:rPr>
          <w:b w:val="0"/>
          <w:bCs/>
          <w:sz w:val="24"/>
          <w:szCs w:val="24"/>
          <w:highlight w:val="none"/>
        </w:rPr>
        <w:t xml:space="preserve">Россети</w:t>
      </w:r>
      <w:r>
        <w:rPr>
          <w:b w:val="0"/>
          <w:bCs/>
          <w:sz w:val="24"/>
          <w:szCs w:val="24"/>
          <w:highlight w:val="none"/>
        </w:rPr>
        <w:t xml:space="preserve">» - </w:t>
      </w:r>
      <w:r>
        <w:rPr>
          <w:b w:val="0"/>
          <w:bCs/>
          <w:sz w:val="24"/>
          <w:szCs w:val="24"/>
          <w:highlight w:val="none"/>
        </w:rPr>
        <w:t xml:space="preserve">Кузбас</w:t>
      </w:r>
      <w:r>
        <w:rPr>
          <w:b w:val="0"/>
          <w:bCs/>
          <w:sz w:val="24"/>
          <w:szCs w:val="24"/>
          <w:highlight w:val="none"/>
        </w:rPr>
        <w:t xml:space="preserve">ское</w:t>
      </w:r>
      <w:r>
        <w:rPr>
          <w:b w:val="0"/>
          <w:bCs/>
          <w:sz w:val="24"/>
          <w:szCs w:val="24"/>
          <w:highlight w:val="none"/>
        </w:rPr>
        <w:t xml:space="preserve"> ПМЭС</w:t>
      </w:r>
      <w:r>
        <w:rPr>
          <w:b w:val="0"/>
          <w:bCs/>
          <w:sz w:val="24"/>
          <w:szCs w:val="24"/>
          <w:highlight w:val="none"/>
        </w:rPr>
        <w:t xml:space="preserve">:</w:t>
      </w:r>
      <w:r>
        <w:rPr>
          <w:bCs/>
          <w:highlight w:val="none"/>
        </w:rPr>
      </w:r>
      <w:r>
        <w:rPr>
          <w:bCs/>
          <w:highlight w:val="none"/>
        </w:rPr>
      </w:r>
    </w:p>
    <w:p>
      <w:pPr>
        <w:pStyle w:val="1069"/>
        <w:ind w:firstLine="709"/>
        <w:jc w:val="both"/>
        <w:tabs>
          <w:tab w:val="left" w:pos="0" w:leader="none"/>
        </w:tabs>
      </w:pPr>
      <w:r>
        <w:rPr>
          <w:highlight w:val="none"/>
        </w:rPr>
        <w:t xml:space="preserve">2.1. </w:t>
      </w:r>
      <w:r>
        <w:rPr>
          <w:highlight w:val="none"/>
        </w:rPr>
        <w:t xml:space="preserve">В </w:t>
      </w:r>
      <w:r>
        <w:rPr>
          <w:highlight w:val="none"/>
        </w:rPr>
        <w:t xml:space="preserve">течение</w:t>
      </w:r>
      <w:r>
        <w:rPr>
          <w:highlight w:val="none"/>
        </w:rPr>
        <w:t xml:space="preserve"> 20 (двадцати) дней </w:t>
      </w:r>
      <w:r>
        <w:rPr>
          <w:highlight w:val="none"/>
        </w:rPr>
        <w:t xml:space="preserve">с даты размещения на официальном сайте </w:t>
      </w:r>
      <w:r>
        <w:rPr>
          <w:szCs w:val="28"/>
          <w:highlight w:val="none"/>
        </w:rPr>
        <w:t xml:space="preserve">Единой информационной </w:t>
      </w:r>
      <w:r>
        <w:rPr>
          <w:highlight w:val="none"/>
        </w:rPr>
        <w:t xml:space="preserve">системы</w:t>
      </w:r>
      <w:r>
        <w:rPr>
          <w:szCs w:val="28"/>
          <w:highlight w:val="none"/>
        </w:rPr>
        <w:t xml:space="preserve"> в сфере закупок итогового протокола,</w:t>
      </w:r>
      <w:r>
        <w:rPr>
          <w:highlight w:val="none"/>
        </w:rPr>
        <w:t xml:space="preserve"> провести с победителем закупки </w:t>
      </w:r>
      <w:r>
        <w:rPr>
          <w:highlight w:val="none"/>
        </w:rPr>
        <w:t xml:space="preserve">преддоговорные переговоры</w:t>
      </w:r>
      <w:r>
        <w:t xml:space="preserve"> о возможности снижения цены заявки и, по результатам переговоров, но не ранее 10 (десяти) дней с даты размещения данного протокола на официальном сайте Единой информационной системы в сфере закупок, заключить с победителем договор</w:t>
      </w:r>
      <w: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поставки </w:t>
      </w:r>
      <w:r>
        <w:rPr>
          <w:b w:val="0"/>
          <w:bCs w:val="0"/>
          <w:sz w:val="24"/>
          <w:szCs w:val="24"/>
          <w:highlight w:val="none"/>
        </w:rPr>
        <w:t xml:space="preserve">масла трансформаторного ГК  для нужд Кузбасского ПМЭС</w:t>
      </w:r>
      <w:r>
        <w:rPr>
          <w:bCs/>
        </w:rPr>
        <w:t xml:space="preserve"> </w:t>
      </w:r>
      <w:r>
        <w:t xml:space="preserve">в редакции Извещения по запросу котировок в электронной форме</w:t>
      </w:r>
      <w:r>
        <w:t xml:space="preserve">.</w:t>
      </w:r>
      <w:r/>
    </w:p>
    <w:p>
      <w:pPr>
        <w:pStyle w:val="1135"/>
        <w:ind w:firstLine="709"/>
        <w:spacing w:line="240" w:lineRule="auto"/>
        <w:tabs>
          <w:tab w:val="clear" w:pos="1080" w:leader="none"/>
          <w:tab w:val="left" w:pos="1418" w:leader="none"/>
        </w:tabs>
        <w:rPr>
          <w:highlight w:val="none"/>
        </w:rPr>
      </w:pPr>
      <w:r>
        <w:rPr>
          <w:spacing w:val="-1"/>
        </w:rPr>
        <w:t xml:space="preserve">2.2. </w:t>
      </w:r>
      <w:r>
        <w:rPr>
          <w:spacing w:val="-1"/>
        </w:rPr>
        <w:t xml:space="preserve">В </w:t>
      </w:r>
      <w:r>
        <w:t xml:space="preserve">течение</w:t>
      </w:r>
      <w:r>
        <w:rPr>
          <w:spacing w:val="-1"/>
        </w:rPr>
        <w:t xml:space="preserve"> 3 (трех) рабочих дней после заключения договора направить копию </w:t>
      </w:r>
      <w:r>
        <w:t xml:space="preserve">соглашения</w:t>
      </w:r>
      <w:r>
        <w:rPr>
          <w:spacing w:val="-1"/>
        </w:rPr>
        <w:t xml:space="preserve"> о результатах преддоговорных переговоров и копию </w:t>
      </w:r>
      <w:r>
        <w:rPr>
          <w:spacing w:val="-1"/>
        </w:rPr>
        <w:t xml:space="preserve">договора в Службу закупок МЭС Сибири</w:t>
      </w:r>
      <w:r>
        <w:rPr>
          <w:spacing w:val="-1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1069"/>
        <w:ind w:firstLine="709"/>
        <w:jc w:val="both"/>
        <w:tabs>
          <w:tab w:val="left" w:pos="360" w:leader="none"/>
          <w:tab w:val="left" w:pos="1134" w:leader="none"/>
        </w:tabs>
        <w:rPr>
          <w:highlight w:val="none"/>
        </w:rPr>
      </w:pPr>
      <w:r>
        <w:t xml:space="preserve">Настоящий протокол подлежит опубликованию на официальном сайте, адрес которого указан в извещении о проведении запроса котировок в электронной форме, не позднее </w:t>
      </w:r>
      <w:r>
        <w:t xml:space="preserve">трех дней со дня его подписания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tbl>
      <w:tblPr>
        <w:tblpPr w:horzAnchor="margin" w:tblpXSpec="left" w:vertAnchor="text" w:tblpY="70" w:leftFromText="180" w:topFromText="0" w:rightFromText="180" w:bottomFromText="0"/>
        <w:tblW w:w="1017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668"/>
        <w:gridCol w:w="2126"/>
        <w:gridCol w:w="2268"/>
        <w:gridCol w:w="411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126"/>
        </w:trPr>
        <w:tc>
          <w:tcPr>
            <w:tcW w:w="1668" w:type="dxa"/>
            <w:vAlign w:val="center"/>
            <w:textDirection w:val="lrTb"/>
            <w:noWrap w:val="false"/>
          </w:tcPr>
          <w:p>
            <w:pPr>
              <w:pStyle w:val="1069"/>
              <w:keepNext/>
              <w:framePr w:hSpace="180" w:wrap="around" w:vAnchor="text" w:hAnchor="margin" w:y="70"/>
            </w:pPr>
            <w:r>
              <w:t xml:space="preserve">Председатель з</w:t>
            </w:r>
            <w:r>
              <w:t xml:space="preserve">акупочной к</w:t>
            </w:r>
            <w:r>
              <w:t xml:space="preserve">о</w:t>
            </w:r>
            <w:r>
              <w:t xml:space="preserve">миссии:</w:t>
            </w:r>
            <w:r/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pStyle w:val="1126"/>
              <w:keepNext/>
              <w:rPr>
                <w:sz w:val="22"/>
                <w:szCs w:val="22"/>
              </w:rPr>
              <w:framePr w:hSpace="180" w:wrap="around" w:vAnchor="text" w:hAnchor="margin" w:y="70"/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rPr>
                <w:rFonts w:eastAsia="Arial Unicode MS"/>
              </w:rPr>
              <w:framePr w:hSpace="180" w:wrap="around" w:vAnchor="text" w:hAnchor="margin" w:y="70"/>
            </w:pPr>
            <w:r>
              <w:rPr>
                <w:rFonts w:eastAsia="Arial Unicode MS"/>
              </w:rPr>
              <w:t xml:space="preserve">Марцинкевич К.Л.</w:t>
            </w:r>
            <w:r>
              <w:rPr>
                <w:rFonts w:eastAsia="Arial Unicode MS"/>
              </w:rPr>
            </w:r>
            <w:r>
              <w:rPr>
                <w:rFonts w:eastAsia="Arial Unicode MS"/>
              </w:rPr>
            </w:r>
          </w:p>
        </w:tc>
        <w:tc>
          <w:tcPr>
            <w:tcW w:w="4111" w:type="dxa"/>
            <w:vAlign w:val="center"/>
            <w:textDirection w:val="lrTb"/>
            <w:noWrap w:val="false"/>
          </w:tcPr>
          <w:p>
            <w:pPr>
              <w:pStyle w:val="1069"/>
              <w:jc w:val="both"/>
              <w:rPr>
                <w:rFonts w:eastAsia="Arial Unicode MS"/>
              </w:rPr>
              <w:framePr w:hSpace="180" w:wrap="around" w:vAnchor="text" w:hAnchor="margin" w:y="70"/>
            </w:pPr>
            <w:r>
              <w:rPr>
                <w:rFonts w:eastAsia="Arial Unicode MS"/>
              </w:rPr>
              <w:t xml:space="preserve">Заместитель Генерального директора по экономике и финансам филиала ПАО «</w:t>
            </w:r>
            <w:r>
              <w:rPr>
                <w:rFonts w:eastAsia="Arial Unicode MS"/>
              </w:rPr>
              <w:t xml:space="preserve">Россети</w:t>
            </w:r>
            <w:r>
              <w:rPr>
                <w:rFonts w:eastAsia="Arial Unicode MS"/>
              </w:rPr>
              <w:t xml:space="preserve">» - МЭС Сибири</w:t>
            </w:r>
            <w:r>
              <w:rPr>
                <w:rFonts w:eastAsia="Arial Unicode MS"/>
              </w:rPr>
            </w:r>
            <w:r>
              <w:rPr>
                <w:rFonts w:eastAsia="Arial Unicode MS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55"/>
        </w:trPr>
        <w:tc>
          <w:tcPr>
            <w:tcW w:w="1668" w:type="dxa"/>
            <w:vAlign w:val="center"/>
            <w:textDirection w:val="lrTb"/>
            <w:noWrap w:val="false"/>
          </w:tcPr>
          <w:p>
            <w:pPr>
              <w:pStyle w:val="1069"/>
              <w:jc w:val="both"/>
              <w:framePr w:hSpace="180" w:wrap="around" w:vAnchor="text" w:hAnchor="margin" w:y="70"/>
            </w:pPr>
            <w:r>
              <w:t xml:space="preserve">Секретарь закупочной комиссии:</w:t>
            </w:r>
            <w:r/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pStyle w:val="1069"/>
              <w:jc w:val="both"/>
              <w:framePr w:hSpace="180" w:wrap="around" w:vAnchor="text" w:hAnchor="margin" w:y="70"/>
            </w:pPr>
            <w:r/>
            <w:r/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pStyle w:val="1069"/>
              <w:jc w:val="center"/>
              <w:widowControl w:val="off"/>
              <w:rPr>
                <w:rFonts w:eastAsia="Arial Unicode MS"/>
              </w:rPr>
              <w:framePr w:hSpace="180" w:wrap="around" w:vAnchor="text" w:hAnchor="margin" w:y="70"/>
            </w:pPr>
            <w:r>
              <w:rPr>
                <w:rFonts w:eastAsia="Arial Unicode MS"/>
              </w:rPr>
              <w:t xml:space="preserve">Симоненков Д.А.</w:t>
            </w:r>
            <w:r>
              <w:rPr>
                <w:rFonts w:eastAsia="Arial Unicode MS"/>
              </w:rPr>
            </w:r>
            <w:r>
              <w:rPr>
                <w:rFonts w:eastAsia="Arial Unicode MS"/>
              </w:rPr>
            </w:r>
          </w:p>
        </w:tc>
        <w:tc>
          <w:tcPr>
            <w:tcW w:w="4111" w:type="dxa"/>
            <w:vAlign w:val="center"/>
            <w:textDirection w:val="lrTb"/>
            <w:noWrap w:val="false"/>
          </w:tcPr>
          <w:p>
            <w:pPr>
              <w:pStyle w:val="1069"/>
              <w:jc w:val="both"/>
              <w:rPr>
                <w:rFonts w:eastAsia="Arial Unicode MS"/>
              </w:rPr>
              <w:framePr w:hSpace="180" w:wrap="around" w:vAnchor="text" w:hAnchor="margin" w:y="70"/>
            </w:pPr>
            <w:r>
              <w:rPr>
                <w:rFonts w:eastAsia="Arial Unicode MS"/>
              </w:rPr>
              <w:t xml:space="preserve">Главный</w:t>
            </w:r>
            <w:r>
              <w:rPr>
                <w:rFonts w:eastAsia="Arial Unicode MS"/>
              </w:rPr>
              <w:t xml:space="preserve"> специалист отдела организации регламентированных закупок Службы закупок филиала ПАО «</w:t>
            </w:r>
            <w:r>
              <w:rPr>
                <w:rFonts w:eastAsia="Arial Unicode MS"/>
              </w:rPr>
              <w:t xml:space="preserve">Россети</w:t>
            </w:r>
            <w:r>
              <w:rPr>
                <w:rFonts w:eastAsia="Arial Unicode MS"/>
              </w:rPr>
              <w:t xml:space="preserve">» - МЭС Сибири</w:t>
            </w:r>
            <w:r>
              <w:rPr>
                <w:rFonts w:eastAsia="Arial Unicode MS"/>
              </w:rPr>
            </w:r>
            <w:r>
              <w:rPr>
                <w:rFonts w:eastAsia="Arial Unicode MS"/>
              </w:rPr>
            </w:r>
          </w:p>
        </w:tc>
      </w:tr>
    </w:tbl>
    <w:p>
      <w:r/>
      <w:r/>
    </w:p>
    <w:sectPr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footnotePr/>
      <w:endnotePr/>
      <w:type w:val="continuous"/>
      <w:pgSz w:w="11906" w:h="16838" w:orient="portrait"/>
      <w:pgMar w:top="993" w:right="707" w:bottom="1418" w:left="1140" w:header="106" w:footer="319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9"/>
      <w:ind w:right="-1"/>
      <w:jc w:val="center"/>
      <w:rPr>
        <w:bCs/>
        <w:sz w:val="16"/>
        <w:szCs w:val="16"/>
        <w:highlight w:val="none"/>
      </w:rPr>
    </w:pPr>
    <w:r>
      <w:rPr>
        <w:bCs/>
        <w:sz w:val="16"/>
        <w:szCs w:val="16"/>
      </w:rPr>
      <w:t xml:space="preserve">ПРОТОК</w:t>
    </w:r>
    <w:r>
      <w:rPr>
        <w:bCs/>
        <w:sz w:val="16"/>
        <w:szCs w:val="16"/>
        <w:highlight w:val="none"/>
      </w:rPr>
      <w:t xml:space="preserve">ОЛ </w:t>
    </w:r>
    <w:r>
      <w:rPr>
        <w:bCs/>
        <w:sz w:val="16"/>
        <w:szCs w:val="16"/>
        <w:highlight w:val="none"/>
      </w:rPr>
      <w:t xml:space="preserve">№ 2</w:t>
    </w:r>
    <w:r>
      <w:rPr>
        <w:bCs/>
        <w:sz w:val="16"/>
        <w:szCs w:val="16"/>
        <w:highlight w:val="none"/>
      </w:rPr>
      <w:t xml:space="preserve">/</w:t>
    </w:r>
    <w:r>
      <w:rPr>
        <w:bCs/>
        <w:sz w:val="16"/>
        <w:szCs w:val="16"/>
        <w:highlight w:val="none"/>
      </w:rPr>
      <w:t xml:space="preserve">3</w:t>
    </w:r>
    <w:r>
      <w:rPr>
        <w:bCs/>
        <w:sz w:val="16"/>
        <w:szCs w:val="16"/>
        <w:highlight w:val="none"/>
      </w:rPr>
      <w:t xml:space="preserve">6</w:t>
    </w:r>
    <w:r>
      <w:rPr>
        <w:bCs/>
        <w:sz w:val="16"/>
        <w:szCs w:val="16"/>
        <w:highlight w:val="none"/>
      </w:rPr>
      <w:t xml:space="preserve">8</w:t>
    </w:r>
    <w:r>
      <w:rPr>
        <w:bCs/>
        <w:sz w:val="16"/>
        <w:szCs w:val="16"/>
        <w:highlight w:val="none"/>
      </w:rPr>
      <w:t xml:space="preserve">0</w:t>
    </w:r>
    <w:r>
      <w:rPr>
        <w:bCs/>
        <w:sz w:val="16"/>
        <w:szCs w:val="16"/>
        <w:highlight w:val="none"/>
      </w:rPr>
      <w:t xml:space="preserve">6</w:t>
    </w:r>
    <w:r>
      <w:rPr>
        <w:bCs/>
        <w:sz w:val="16"/>
        <w:szCs w:val="16"/>
        <w:highlight w:val="none"/>
      </w:rPr>
      <w:t xml:space="preserve">0</w:t>
    </w:r>
    <w:r>
      <w:rPr>
        <w:bCs/>
        <w:sz w:val="16"/>
        <w:szCs w:val="16"/>
        <w:highlight w:val="none"/>
      </w:rPr>
      <w:t xml:space="preserve">4</w:t>
    </w:r>
    <w:r>
      <w:rPr>
        <w:bCs/>
        <w:sz w:val="16"/>
        <w:szCs w:val="16"/>
        <w:highlight w:val="none"/>
      </w:rPr>
    </w:r>
    <w:r>
      <w:rPr>
        <w:bCs/>
        <w:sz w:val="16"/>
        <w:szCs w:val="16"/>
        <w:highlight w:val="none"/>
      </w:rPr>
    </w:r>
  </w:p>
  <w:p>
    <w:pPr>
      <w:pStyle w:val="1069"/>
      <w:ind w:right="-1"/>
      <w:jc w:val="center"/>
      <w:rPr>
        <w:bCs/>
        <w:sz w:val="16"/>
        <w:szCs w:val="16"/>
        <w:highlight w:val="none"/>
      </w:rPr>
    </w:pPr>
    <w:r>
      <w:rPr>
        <w:bCs/>
        <w:sz w:val="16"/>
        <w:szCs w:val="16"/>
        <w:highlight w:val="none"/>
      </w:rPr>
      <w:t xml:space="preserve">заочного заседания Закупочной комиссии по подведению итогов  </w:t>
    </w:r>
    <w:r>
      <w:rPr>
        <w:bCs/>
        <w:sz w:val="16"/>
        <w:szCs w:val="16"/>
        <w:highlight w:val="none"/>
      </w:rPr>
    </w:r>
    <w:r>
      <w:rPr>
        <w:bCs/>
        <w:sz w:val="16"/>
        <w:szCs w:val="16"/>
        <w:highlight w:val="none"/>
      </w:rPr>
    </w:r>
  </w:p>
  <w:p>
    <w:pPr>
      <w:pStyle w:val="1069"/>
      <w:ind w:right="-1"/>
      <w:jc w:val="center"/>
      <w:rPr>
        <w:bCs/>
        <w:sz w:val="16"/>
        <w:szCs w:val="16"/>
      </w:rPr>
    </w:pPr>
    <w:r>
      <w:rPr>
        <w:bCs/>
        <w:sz w:val="16"/>
        <w:szCs w:val="16"/>
        <w:highlight w:val="none"/>
      </w:rPr>
      <w:t xml:space="preserve">запроса котировок в электронной форме на право заключения договор</w:t>
    </w:r>
    <w:r>
      <w:rPr>
        <w:bCs/>
        <w:sz w:val="16"/>
        <w:szCs w:val="16"/>
        <w:highlight w:val="none"/>
      </w:rPr>
      <w:t xml:space="preserve">а </w:t>
    </w:r>
    <w:r>
      <w:rPr>
        <w:sz w:val="16"/>
        <w:szCs w:val="16"/>
        <w:highlight w:val="none"/>
      </w:rPr>
      <w:t xml:space="preserve">поставки </w:t>
    </w:r>
    <w:r>
      <w:rPr>
        <w:sz w:val="16"/>
        <w:szCs w:val="16"/>
        <w:highlight w:val="none"/>
      </w:rPr>
      <w:t xml:space="preserve">масл</w:t>
    </w:r>
    <w:r>
      <w:rPr>
        <w:sz w:val="16"/>
        <w:szCs w:val="16"/>
        <w:highlight w:val="none"/>
      </w:rPr>
      <w:t xml:space="preserve">а трансформаторного ГК  для нужд Кузбасского ПМЭС</w:t>
    </w:r>
    <w:r>
      <w:rPr>
        <w:bCs/>
        <w:sz w:val="16"/>
        <w:szCs w:val="16"/>
      </w:rPr>
    </w:r>
    <w:r>
      <w:rPr>
        <w:bCs/>
        <w:sz w:val="16"/>
        <w:szCs w:val="16"/>
      </w:rPr>
    </w:r>
  </w:p>
  <w:p>
    <w:pPr>
      <w:pStyle w:val="1069"/>
      <w:ind w:right="-1"/>
      <w:jc w:val="center"/>
    </w:pPr>
    <w:r>
      <w:rPr>
        <w:bCs/>
        <w:sz w:val="16"/>
        <w:szCs w:val="16"/>
      </w:rPr>
      <w:t xml:space="preserve">стр.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 PAGE </w:instrText>
    </w:r>
    <w:r>
      <w:rPr>
        <w:bCs/>
        <w:sz w:val="16"/>
        <w:szCs w:val="16"/>
      </w:rPr>
      <w:fldChar w:fldCharType="separate"/>
    </w:r>
    <w:r>
      <w:rPr>
        <w:bCs/>
        <w:sz w:val="16"/>
        <w:szCs w:val="16"/>
      </w:rPr>
      <w:t xml:space="preserve">3</w:t>
    </w:r>
    <w:r>
      <w:rPr>
        <w:bCs/>
        <w:sz w:val="16"/>
        <w:szCs w:val="16"/>
      </w:rPr>
      <w:fldChar w:fldCharType="end"/>
    </w:r>
    <w:r>
      <w:rPr>
        <w:bCs/>
        <w:sz w:val="16"/>
        <w:szCs w:val="16"/>
      </w:rPr>
      <w:t xml:space="preserve"> из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 NUMPAGES </w:instrText>
    </w:r>
    <w:r>
      <w:rPr>
        <w:bCs/>
        <w:sz w:val="16"/>
        <w:szCs w:val="16"/>
      </w:rPr>
      <w:fldChar w:fldCharType="separate"/>
    </w:r>
    <w:r>
      <w:rPr>
        <w:bCs/>
        <w:sz w:val="16"/>
        <w:szCs w:val="16"/>
      </w:rPr>
      <w:t xml:space="preserve">3</w:t>
    </w:r>
    <w:r>
      <w:rPr>
        <w:bCs/>
        <w:sz w:val="16"/>
        <w:szCs w:val="16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3"/>
      <w:rPr>
        <w:rStyle w:val="1092"/>
      </w:rPr>
      <w:framePr w:wrap="around" w:vAnchor="text" w:hAnchor="margin" w:xAlign="center" w:y="1"/>
    </w:pPr>
    <w:r>
      <w:rPr>
        <w:rStyle w:val="1092"/>
      </w:rPr>
      <w:fldChar w:fldCharType="begin"/>
    </w:r>
    <w:r>
      <w:rPr>
        <w:rStyle w:val="1092"/>
      </w:rPr>
      <w:instrText xml:space="preserve">PAGE  </w:instrText>
    </w:r>
    <w:r>
      <w:rPr>
        <w:rStyle w:val="1092"/>
      </w:rPr>
      <w:fldChar w:fldCharType="end"/>
    </w:r>
    <w:r>
      <w:rPr>
        <w:rStyle w:val="1092"/>
      </w:rPr>
    </w:r>
    <w:r>
      <w:rPr>
        <w:rStyle w:val="1092"/>
      </w:rPr>
    </w:r>
  </w:p>
  <w:p>
    <w:pPr>
      <w:pStyle w:val="109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9"/>
      <w:ind w:right="-1"/>
      <w:jc w:val="center"/>
      <w:rPr>
        <w:bCs/>
        <w:sz w:val="16"/>
        <w:szCs w:val="16"/>
      </w:rPr>
    </w:pPr>
    <w:r>
      <w:rPr>
        <w:bCs/>
        <w:sz w:val="16"/>
        <w:szCs w:val="16"/>
      </w:rPr>
      <w:t xml:space="preserve">ПРОТОКОЛ № </w:t>
    </w:r>
    <w:r>
      <w:rPr>
        <w:bCs/>
        <w:sz w:val="16"/>
        <w:szCs w:val="16"/>
        <w:highlight w:val="yellow"/>
      </w:rPr>
      <w:t xml:space="preserve">2/</w:t>
    </w:r>
    <w:r>
      <w:rPr>
        <w:sz w:val="16"/>
        <w:szCs w:val="16"/>
        <w:highlight w:val="yellow"/>
      </w:rPr>
      <w:t xml:space="preserve">710423</w:t>
    </w:r>
    <w:r>
      <w:rPr>
        <w:bCs/>
        <w:sz w:val="16"/>
        <w:szCs w:val="16"/>
      </w:rPr>
    </w:r>
    <w:r>
      <w:rPr>
        <w:bCs/>
        <w:sz w:val="16"/>
        <w:szCs w:val="16"/>
      </w:rPr>
    </w:r>
  </w:p>
  <w:p>
    <w:pPr>
      <w:pStyle w:val="1069"/>
      <w:jc w:val="center"/>
      <w:rPr>
        <w:bCs/>
        <w:sz w:val="16"/>
        <w:szCs w:val="16"/>
      </w:rPr>
    </w:pPr>
    <w:r>
      <w:rPr>
        <w:bCs/>
        <w:sz w:val="16"/>
        <w:szCs w:val="16"/>
      </w:rPr>
      <w:t xml:space="preserve">заочного заседания Закупочной комиссии по подведению итогов  </w:t>
    </w:r>
    <w:r>
      <w:rPr>
        <w:bCs/>
        <w:sz w:val="16"/>
        <w:szCs w:val="16"/>
      </w:rPr>
    </w:r>
    <w:r>
      <w:rPr>
        <w:bCs/>
        <w:sz w:val="16"/>
        <w:szCs w:val="16"/>
      </w:rPr>
    </w:r>
  </w:p>
  <w:p>
    <w:pPr>
      <w:pStyle w:val="1069"/>
      <w:jc w:val="center"/>
      <w:rPr>
        <w:sz w:val="16"/>
        <w:szCs w:val="16"/>
      </w:rPr>
    </w:pPr>
    <w:r>
      <w:rPr>
        <w:bCs/>
        <w:sz w:val="16"/>
        <w:szCs w:val="16"/>
      </w:rPr>
      <w:t xml:space="preserve">запроса котировок в электронной форме на право заключения </w:t>
    </w:r>
    <w:r>
      <w:rPr>
        <w:spacing w:val="-2"/>
        <w:sz w:val="16"/>
        <w:szCs w:val="16"/>
      </w:rPr>
      <w:t xml:space="preserve">договора </w:t>
    </w:r>
    <w:r>
      <w:rPr>
        <w:sz w:val="16"/>
        <w:szCs w:val="16"/>
        <w:highlight w:val="yellow"/>
      </w:rPr>
      <w:t xml:space="preserve">оказания услуг по уборке помещений для нужд филиала ПАО «ФСК ЕЭС» – Хакасское ПМЭС</w:t>
    </w:r>
    <w:r>
      <w:rPr>
        <w:sz w:val="16"/>
        <w:szCs w:val="16"/>
      </w:rPr>
    </w:r>
    <w:r>
      <w:rPr>
        <w:sz w:val="16"/>
        <w:szCs w:val="16"/>
      </w:rPr>
    </w:r>
  </w:p>
  <w:p>
    <w:pPr>
      <w:pStyle w:val="1091"/>
      <w:ind w:right="-1"/>
      <w:jc w:val="center"/>
      <w:tabs>
        <w:tab w:val="clear" w:pos="4677" w:leader="none"/>
        <w:tab w:val="clear" w:pos="9355" w:leader="none"/>
      </w:tabs>
      <w:rPr>
        <w:sz w:val="16"/>
        <w:szCs w:val="16"/>
      </w:rPr>
      <w:outlineLvl w:val="0"/>
    </w:pPr>
    <w:r>
      <w:rPr>
        <w:sz w:val="16"/>
        <w:szCs w:val="16"/>
      </w:rPr>
      <w:t xml:space="preserve">Страница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PAGE</w:instrText>
    </w:r>
    <w:r>
      <w:rPr>
        <w:bCs/>
        <w:sz w:val="16"/>
        <w:szCs w:val="16"/>
      </w:rPr>
      <w:fldChar w:fldCharType="separate"/>
    </w:r>
    <w:r>
      <w:rPr>
        <w:bCs/>
        <w:sz w:val="16"/>
        <w:szCs w:val="16"/>
      </w:rPr>
      <w:t xml:space="preserve">1</w:t>
    </w:r>
    <w:r>
      <w:rPr>
        <w:bCs/>
        <w:sz w:val="16"/>
        <w:szCs w:val="16"/>
      </w:rPr>
      <w:fldChar w:fldCharType="end"/>
    </w:r>
    <w:r>
      <w:rPr>
        <w:sz w:val="16"/>
        <w:szCs w:val="16"/>
      </w:rPr>
      <w:t xml:space="preserve"> из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NUMPAGES</w:instrText>
    </w:r>
    <w:r>
      <w:rPr>
        <w:bCs/>
        <w:sz w:val="16"/>
        <w:szCs w:val="16"/>
      </w:rPr>
      <w:fldChar w:fldCharType="separate"/>
    </w:r>
    <w:r>
      <w:rPr>
        <w:bCs/>
        <w:sz w:val="16"/>
        <w:szCs w:val="16"/>
      </w:rPr>
      <w:t xml:space="preserve">3</w:t>
    </w:r>
    <w:r>
      <w:rPr>
        <w:bCs/>
        <w:sz w:val="16"/>
        <w:szCs w:val="16"/>
      </w:rPr>
      <w:fldChar w:fldCharType="end"/>
    </w:r>
    <w:r>
      <w:rPr>
        <w:sz w:val="16"/>
        <w:szCs w:val="16"/>
      </w:rPr>
    </w:r>
    <w:r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1"/>
      <w:ind w:right="360"/>
    </w:pPr>
    <w:r>
      <w:t xml:space="preserve"> 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1"/>
      <w:rPr>
        <w:rStyle w:val="1092"/>
      </w:rPr>
      <w:framePr w:wrap="around" w:vAnchor="text" w:hAnchor="margin" w:xAlign="right" w:y="1"/>
    </w:pPr>
    <w:r>
      <w:rPr>
        <w:rStyle w:val="1092"/>
      </w:rPr>
      <w:fldChar w:fldCharType="begin"/>
    </w:r>
    <w:r>
      <w:rPr>
        <w:rStyle w:val="1092"/>
      </w:rPr>
      <w:instrText xml:space="preserve">PAGE  </w:instrText>
    </w:r>
    <w:r>
      <w:rPr>
        <w:rStyle w:val="1092"/>
      </w:rPr>
      <w:fldChar w:fldCharType="end"/>
    </w:r>
    <w:r>
      <w:rPr>
        <w:rStyle w:val="1092"/>
      </w:rPr>
    </w:r>
    <w:r>
      <w:rPr>
        <w:rStyle w:val="1092"/>
      </w:rPr>
    </w:r>
  </w:p>
  <w:p>
    <w:pPr>
      <w:pStyle w:val="1091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  <w:tabs>
          <w:tab w:val="num" w:pos="644" w:leader="none"/>
        </w:tabs>
      </w:pPr>
      <w:rPr>
        <w:rFonts w:ascii="Symbol" w:hAnsi="Symbol"/>
      </w:r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59" w:hanging="360"/>
        <w:tabs>
          <w:tab w:val="num" w:pos="1259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61" w:hanging="360"/>
        <w:tabs>
          <w:tab w:val="num" w:pos="1461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81" w:hanging="360"/>
        <w:tabs>
          <w:tab w:val="num" w:pos="2181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01" w:hanging="360"/>
        <w:tabs>
          <w:tab w:val="num" w:pos="2901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21" w:hanging="360"/>
        <w:tabs>
          <w:tab w:val="num" w:pos="3621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41" w:hanging="360"/>
        <w:tabs>
          <w:tab w:val="num" w:pos="4341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61" w:hanging="360"/>
        <w:tabs>
          <w:tab w:val="num" w:pos="5061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81" w:hanging="360"/>
        <w:tabs>
          <w:tab w:val="num" w:pos="5781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01" w:hanging="360"/>
        <w:tabs>
          <w:tab w:val="num" w:pos="6501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21" w:hanging="360"/>
        <w:tabs>
          <w:tab w:val="num" w:pos="7221" w:leader="none"/>
        </w:tabs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40" w:hanging="360"/>
        <w:tabs>
          <w:tab w:val="num" w:pos="104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60" w:hanging="360"/>
        <w:tabs>
          <w:tab w:val="num" w:pos="176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80" w:hanging="360"/>
        <w:tabs>
          <w:tab w:val="num" w:pos="248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00" w:hanging="360"/>
        <w:tabs>
          <w:tab w:val="num" w:pos="320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20" w:hanging="360"/>
        <w:tabs>
          <w:tab w:val="num" w:pos="392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40" w:hanging="360"/>
        <w:tabs>
          <w:tab w:val="num" w:pos="464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60" w:hanging="360"/>
        <w:tabs>
          <w:tab w:val="num" w:pos="536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80" w:hanging="360"/>
        <w:tabs>
          <w:tab w:val="num" w:pos="608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00" w:hanging="360"/>
        <w:tabs>
          <w:tab w:val="num" w:pos="6800" w:leader="none"/>
        </w:tabs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  <w:tabs>
          <w:tab w:val="num" w:pos="1429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2149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2869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3589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4309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5029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5749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6469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7189" w:leader="none"/>
        </w:tabs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53" w:hanging="360"/>
        <w:tabs>
          <w:tab w:val="num" w:pos="1453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73" w:hanging="360"/>
        <w:tabs>
          <w:tab w:val="num" w:pos="2173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93" w:hanging="360"/>
        <w:tabs>
          <w:tab w:val="num" w:pos="2893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13" w:hanging="360"/>
        <w:tabs>
          <w:tab w:val="num" w:pos="3613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33" w:hanging="360"/>
        <w:tabs>
          <w:tab w:val="num" w:pos="4333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53" w:hanging="360"/>
        <w:tabs>
          <w:tab w:val="num" w:pos="5053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73" w:hanging="360"/>
        <w:tabs>
          <w:tab w:val="num" w:pos="5773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93" w:hanging="360"/>
        <w:tabs>
          <w:tab w:val="num" w:pos="6493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13" w:hanging="360"/>
        <w:tabs>
          <w:tab w:val="num" w:pos="7213" w:leader="none"/>
        </w:tabs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571" w:hanging="360"/>
        <w:tabs>
          <w:tab w:val="num" w:pos="1571" w:leader="none"/>
        </w:tabs>
      </w:pPr>
      <w:rPr>
        <w:rFonts w:ascii="Times New Roman" w:hAnsi="Times New Roman" w:cs="Times New Roman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  <w:tabs>
          <w:tab w:val="num" w:pos="1429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2149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2869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3589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4309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5029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5749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6469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7189" w:leader="none"/>
        </w:tabs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3"/>
      <w:numFmt w:val="decimal"/>
      <w:isLgl w:val="false"/>
      <w:suff w:val="tab"/>
      <w:lvlText w:val="%1.%2."/>
      <w:lvlJc w:val="left"/>
      <w:pPr>
        <w:ind w:left="780" w:hanging="4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96" w:hanging="396"/>
        <w:tabs>
          <w:tab w:val="num" w:pos="396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909" w:hanging="396"/>
        <w:tabs>
          <w:tab w:val="num" w:pos="909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740" w:hanging="720"/>
        <w:tabs>
          <w:tab w:val="num" w:pos="17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250" w:hanging="720"/>
        <w:tabs>
          <w:tab w:val="num" w:pos="225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120" w:hanging="1080"/>
        <w:tabs>
          <w:tab w:val="num" w:pos="31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630" w:hanging="1080"/>
        <w:tabs>
          <w:tab w:val="num" w:pos="363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500" w:hanging="1440"/>
        <w:tabs>
          <w:tab w:val="num" w:pos="45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010" w:hanging="1440"/>
        <w:tabs>
          <w:tab w:val="num" w:pos="501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880" w:hanging="1800"/>
        <w:tabs>
          <w:tab w:val="num" w:pos="5880" w:leader="none"/>
        </w:tabs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8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9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4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64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792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0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440" w:hanging="180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2">
    <w:multiLevelType w:val="hybridMultilevel"/>
    <w:lvl w:ilvl="0">
      <w:start w:val="1"/>
      <w:numFmt w:val="thaiNumbers"/>
      <w:isLgl w:val="false"/>
      <w:suff w:val="tab"/>
      <w:lvlText w:val="%1)"/>
      <w:lvlJc w:val="left"/>
      <w:pPr>
        <w:ind w:left="564" w:hanging="564"/>
        <w:tabs>
          <w:tab w:val="num" w:pos="564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564" w:hanging="564"/>
        <w:tabs>
          <w:tab w:val="num" w:pos="564" w:leader="none"/>
        </w:tabs>
      </w:pPr>
      <w:rPr>
        <w:rFonts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cs="Times New Roman"/>
        <w:i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430" w:hanging="720"/>
        <w:tabs>
          <w:tab w:val="num" w:pos="1430" w:leader="none"/>
        </w:tabs>
      </w:pPr>
      <w:rPr>
        <w:rFonts w:cs="Times New Roman"/>
        <w:i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cs="Times New Roman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51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8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9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4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64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792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0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440" w:hanging="180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962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3" w:hanging="360"/>
        <w:tabs>
          <w:tab w:val="num" w:pos="2143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3" w:hanging="360"/>
        <w:tabs>
          <w:tab w:val="num" w:pos="2863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3" w:hanging="360"/>
        <w:tabs>
          <w:tab w:val="num" w:pos="3583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3" w:hanging="360"/>
        <w:tabs>
          <w:tab w:val="num" w:pos="4303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3" w:hanging="360"/>
        <w:tabs>
          <w:tab w:val="num" w:pos="5023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3" w:hanging="360"/>
        <w:tabs>
          <w:tab w:val="num" w:pos="5743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3" w:hanging="360"/>
        <w:tabs>
          <w:tab w:val="num" w:pos="6463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3" w:hanging="360"/>
        <w:tabs>
          <w:tab w:val="num" w:pos="7183" w:leader="none"/>
        </w:tabs>
      </w:pPr>
      <w:rPr>
        <w:rFonts w:ascii="Wingdings" w:hAnsi="Wingdings"/>
      </w:rPr>
    </w:lvl>
  </w:abstractNum>
  <w:abstractNum w:abstractNumId="3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</w:lvl>
  </w:abstractNum>
  <w:abstractNum w:abstractNumId="38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41">
    <w:multiLevelType w:val="hybridMultilevel"/>
    <w:lvl w:ilvl="0">
      <w:start w:val="1"/>
      <w:numFmt w:val="decimal"/>
      <w:pStyle w:val="1114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113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4" w:hanging="360"/>
        <w:tabs>
          <w:tab w:val="num" w:pos="2294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4" w:hanging="360"/>
        <w:tabs>
          <w:tab w:val="num" w:pos="3014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4" w:hanging="360"/>
        <w:tabs>
          <w:tab w:val="num" w:pos="3734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4" w:hanging="360"/>
        <w:tabs>
          <w:tab w:val="num" w:pos="4454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4" w:hanging="360"/>
        <w:tabs>
          <w:tab w:val="num" w:pos="5174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4" w:hanging="360"/>
        <w:tabs>
          <w:tab w:val="num" w:pos="5894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4" w:hanging="360"/>
        <w:tabs>
          <w:tab w:val="num" w:pos="6614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4" w:hanging="360"/>
        <w:tabs>
          <w:tab w:val="num" w:pos="7334" w:leader="none"/>
        </w:tabs>
      </w:pPr>
      <w:rPr>
        <w:rFonts w:ascii="Wingdings" w:hAnsi="Wingdings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489" w:hanging="432"/>
        <w:tabs>
          <w:tab w:val="num" w:pos="489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</w:lvl>
  </w:abstractNum>
  <w:abstractNum w:abstractNumId="4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num w:numId="1">
    <w:abstractNumId w:val="41"/>
  </w:num>
  <w:num w:numId="2">
    <w:abstractNumId w:val="2"/>
  </w:num>
  <w:num w:numId="3">
    <w:abstractNumId w:val="34"/>
  </w:num>
  <w:num w:numId="4">
    <w:abstractNumId w:val="25"/>
  </w:num>
  <w:num w:numId="5">
    <w:abstractNumId w:val="20"/>
  </w:num>
  <w:num w:numId="6">
    <w:abstractNumId w:val="3"/>
  </w:num>
  <w:num w:numId="7">
    <w:abstractNumId w:val="6"/>
  </w:num>
  <w:num w:numId="8">
    <w:abstractNumId w:val="21"/>
  </w:num>
  <w:num w:numId="9">
    <w:abstractNumId w:val="11"/>
  </w:num>
  <w:num w:numId="10">
    <w:abstractNumId w:val="4"/>
  </w:num>
  <w:num w:numId="11">
    <w:abstractNumId w:val="44"/>
  </w:num>
  <w:num w:numId="12">
    <w:abstractNumId w:val="38"/>
  </w:num>
  <w:num w:numId="13">
    <w:abstractNumId w:val="15"/>
  </w:num>
  <w:num w:numId="14">
    <w:abstractNumId w:val="42"/>
  </w:num>
  <w:num w:numId="15">
    <w:abstractNumId w:val="43"/>
  </w:num>
  <w:num w:numId="16">
    <w:abstractNumId w:val="12"/>
  </w:num>
  <w:num w:numId="17">
    <w:abstractNumId w:val="36"/>
  </w:num>
  <w:num w:numId="18">
    <w:abstractNumId w:val="5"/>
  </w:num>
  <w:num w:numId="19">
    <w:abstractNumId w:val="26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1">
    <w:abstractNumId w:val="17"/>
  </w:num>
  <w:num w:numId="22">
    <w:abstractNumId w:val="7"/>
  </w:num>
  <w:num w:numId="23">
    <w:abstractNumId w:val="13"/>
  </w:num>
  <w:num w:numId="24">
    <w:abstractNumId w:val="10"/>
  </w:num>
  <w:num w:numId="25">
    <w:abstractNumId w:val="27"/>
  </w:num>
  <w:num w:numId="26">
    <w:abstractNumId w:val="23"/>
  </w:num>
  <w:num w:numId="27">
    <w:abstractNumId w:val="8"/>
  </w:num>
  <w:num w:numId="28">
    <w:abstractNumId w:val="33"/>
  </w:num>
  <w:num w:numId="29">
    <w:abstractNumId w:val="22"/>
  </w:num>
  <w:num w:numId="30">
    <w:abstractNumId w:val="28"/>
  </w:num>
  <w:num w:numId="31">
    <w:abstractNumId w:val="35"/>
  </w:num>
  <w:num w:numId="32">
    <w:abstractNumId w:val="18"/>
  </w:num>
  <w:num w:numId="33">
    <w:abstractNumId w:val="30"/>
  </w:num>
  <w:num w:numId="34">
    <w:abstractNumId w:val="32"/>
  </w:num>
  <w:num w:numId="35">
    <w:abstractNumId w:val="24"/>
  </w:num>
  <w:num w:numId="36">
    <w:abstractNumId w:val="29"/>
  </w:num>
  <w:num w:numId="3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1"/>
  </w:num>
  <w:num w:numId="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8">
    <w:abstractNumId w:val="14"/>
  </w:num>
  <w:num w:numId="49">
    <w:abstractNumId w:val="16"/>
  </w:num>
  <w:num w:numId="5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91">
    <w:name w:val="Heading 1"/>
    <w:basedOn w:val="1104"/>
    <w:next w:val="1104"/>
    <w:link w:val="89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92">
    <w:name w:val="Heading 1 Char"/>
    <w:link w:val="891"/>
    <w:uiPriority w:val="9"/>
    <w:rPr>
      <w:rFonts w:ascii="Arial" w:hAnsi="Arial" w:eastAsia="Arial" w:cs="Arial"/>
      <w:sz w:val="40"/>
      <w:szCs w:val="40"/>
    </w:rPr>
  </w:style>
  <w:style w:type="paragraph" w:styleId="893">
    <w:name w:val="Heading 2"/>
    <w:basedOn w:val="1104"/>
    <w:next w:val="1104"/>
    <w:link w:val="89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94">
    <w:name w:val="Heading 2 Char"/>
    <w:link w:val="893"/>
    <w:uiPriority w:val="9"/>
    <w:rPr>
      <w:rFonts w:ascii="Arial" w:hAnsi="Arial" w:eastAsia="Arial" w:cs="Arial"/>
      <w:sz w:val="34"/>
    </w:rPr>
  </w:style>
  <w:style w:type="paragraph" w:styleId="895">
    <w:name w:val="Heading 3"/>
    <w:basedOn w:val="1104"/>
    <w:next w:val="1104"/>
    <w:link w:val="89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96">
    <w:name w:val="Heading 3 Char"/>
    <w:link w:val="895"/>
    <w:uiPriority w:val="9"/>
    <w:rPr>
      <w:rFonts w:ascii="Arial" w:hAnsi="Arial" w:eastAsia="Arial" w:cs="Arial"/>
      <w:sz w:val="30"/>
      <w:szCs w:val="30"/>
    </w:rPr>
  </w:style>
  <w:style w:type="paragraph" w:styleId="897">
    <w:name w:val="Heading 4"/>
    <w:basedOn w:val="1104"/>
    <w:next w:val="1104"/>
    <w:link w:val="89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98">
    <w:name w:val="Heading 4 Char"/>
    <w:link w:val="897"/>
    <w:uiPriority w:val="9"/>
    <w:rPr>
      <w:rFonts w:ascii="Arial" w:hAnsi="Arial" w:eastAsia="Arial" w:cs="Arial"/>
      <w:b/>
      <w:bCs/>
      <w:sz w:val="26"/>
      <w:szCs w:val="26"/>
    </w:rPr>
  </w:style>
  <w:style w:type="paragraph" w:styleId="899">
    <w:name w:val="Heading 5"/>
    <w:basedOn w:val="1104"/>
    <w:next w:val="1104"/>
    <w:link w:val="90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00">
    <w:name w:val="Heading 5 Char"/>
    <w:link w:val="899"/>
    <w:uiPriority w:val="9"/>
    <w:rPr>
      <w:rFonts w:ascii="Arial" w:hAnsi="Arial" w:eastAsia="Arial" w:cs="Arial"/>
      <w:b/>
      <w:bCs/>
      <w:sz w:val="24"/>
      <w:szCs w:val="24"/>
    </w:rPr>
  </w:style>
  <w:style w:type="paragraph" w:styleId="901">
    <w:name w:val="Heading 6"/>
    <w:basedOn w:val="1104"/>
    <w:next w:val="1104"/>
    <w:link w:val="90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02">
    <w:name w:val="Heading 6 Char"/>
    <w:link w:val="901"/>
    <w:uiPriority w:val="9"/>
    <w:rPr>
      <w:rFonts w:ascii="Arial" w:hAnsi="Arial" w:eastAsia="Arial" w:cs="Arial"/>
      <w:b/>
      <w:bCs/>
      <w:sz w:val="22"/>
      <w:szCs w:val="22"/>
    </w:rPr>
  </w:style>
  <w:style w:type="paragraph" w:styleId="903">
    <w:name w:val="Heading 7"/>
    <w:basedOn w:val="1104"/>
    <w:next w:val="1104"/>
    <w:link w:val="90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04">
    <w:name w:val="Heading 7 Char"/>
    <w:link w:val="90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05">
    <w:name w:val="Heading 8"/>
    <w:basedOn w:val="1104"/>
    <w:next w:val="1104"/>
    <w:link w:val="90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06">
    <w:name w:val="Heading 8 Char"/>
    <w:link w:val="905"/>
    <w:uiPriority w:val="9"/>
    <w:rPr>
      <w:rFonts w:ascii="Arial" w:hAnsi="Arial" w:eastAsia="Arial" w:cs="Arial"/>
      <w:i/>
      <w:iCs/>
      <w:sz w:val="22"/>
      <w:szCs w:val="22"/>
    </w:rPr>
  </w:style>
  <w:style w:type="paragraph" w:styleId="907">
    <w:name w:val="Heading 9"/>
    <w:basedOn w:val="1104"/>
    <w:next w:val="1104"/>
    <w:link w:val="90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08">
    <w:name w:val="Heading 9 Char"/>
    <w:link w:val="907"/>
    <w:uiPriority w:val="9"/>
    <w:rPr>
      <w:rFonts w:ascii="Arial" w:hAnsi="Arial" w:eastAsia="Arial" w:cs="Arial"/>
      <w:i/>
      <w:iCs/>
      <w:sz w:val="21"/>
      <w:szCs w:val="21"/>
    </w:rPr>
  </w:style>
  <w:style w:type="paragraph" w:styleId="909">
    <w:name w:val="List Paragraph"/>
    <w:basedOn w:val="1104"/>
    <w:uiPriority w:val="34"/>
    <w:qFormat/>
    <w:pPr>
      <w:contextualSpacing/>
      <w:ind w:left="720"/>
    </w:pPr>
  </w:style>
  <w:style w:type="paragraph" w:styleId="910">
    <w:name w:val="No Spacing"/>
    <w:uiPriority w:val="1"/>
    <w:qFormat/>
    <w:pPr>
      <w:spacing w:before="0" w:after="0" w:line="240" w:lineRule="auto"/>
    </w:pPr>
  </w:style>
  <w:style w:type="paragraph" w:styleId="911">
    <w:name w:val="Title"/>
    <w:basedOn w:val="1104"/>
    <w:next w:val="1104"/>
    <w:link w:val="91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12">
    <w:name w:val="Title Char"/>
    <w:link w:val="911"/>
    <w:uiPriority w:val="10"/>
    <w:rPr>
      <w:sz w:val="48"/>
      <w:szCs w:val="48"/>
    </w:rPr>
  </w:style>
  <w:style w:type="paragraph" w:styleId="913">
    <w:name w:val="Subtitle"/>
    <w:basedOn w:val="1104"/>
    <w:next w:val="1104"/>
    <w:link w:val="914"/>
    <w:uiPriority w:val="11"/>
    <w:qFormat/>
    <w:pPr>
      <w:spacing w:before="200" w:after="200"/>
    </w:pPr>
    <w:rPr>
      <w:sz w:val="24"/>
      <w:szCs w:val="24"/>
    </w:rPr>
  </w:style>
  <w:style w:type="character" w:styleId="914">
    <w:name w:val="Subtitle Char"/>
    <w:link w:val="913"/>
    <w:uiPriority w:val="11"/>
    <w:rPr>
      <w:sz w:val="24"/>
      <w:szCs w:val="24"/>
    </w:rPr>
  </w:style>
  <w:style w:type="paragraph" w:styleId="915">
    <w:name w:val="Quote"/>
    <w:basedOn w:val="1104"/>
    <w:next w:val="1104"/>
    <w:link w:val="916"/>
    <w:uiPriority w:val="29"/>
    <w:qFormat/>
    <w:pPr>
      <w:ind w:left="720" w:right="720"/>
    </w:pPr>
    <w:rPr>
      <w:i/>
    </w:rPr>
  </w:style>
  <w:style w:type="character" w:styleId="916">
    <w:name w:val="Quote Char"/>
    <w:link w:val="915"/>
    <w:uiPriority w:val="29"/>
    <w:rPr>
      <w:i/>
    </w:rPr>
  </w:style>
  <w:style w:type="paragraph" w:styleId="917">
    <w:name w:val="Intense Quote"/>
    <w:basedOn w:val="1104"/>
    <w:next w:val="1104"/>
    <w:link w:val="91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18">
    <w:name w:val="Intense Quote Char"/>
    <w:link w:val="917"/>
    <w:uiPriority w:val="30"/>
    <w:rPr>
      <w:i/>
    </w:rPr>
  </w:style>
  <w:style w:type="paragraph" w:styleId="919">
    <w:name w:val="Header"/>
    <w:basedOn w:val="1104"/>
    <w:link w:val="9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20">
    <w:name w:val="Header Char"/>
    <w:link w:val="919"/>
    <w:uiPriority w:val="99"/>
  </w:style>
  <w:style w:type="paragraph" w:styleId="921">
    <w:name w:val="Footer"/>
    <w:basedOn w:val="1104"/>
    <w:link w:val="92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922">
    <w:name w:val="Footer Char"/>
    <w:link w:val="921"/>
    <w:uiPriority w:val="99"/>
  </w:style>
  <w:style w:type="paragraph" w:styleId="923">
    <w:name w:val="Caption"/>
    <w:basedOn w:val="1104"/>
    <w:next w:val="1104"/>
    <w:link w:val="92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24">
    <w:name w:val="Caption Char"/>
    <w:link w:val="923"/>
    <w:uiPriority w:val="35"/>
    <w:rPr>
      <w:b/>
      <w:bCs/>
      <w:color w:val="4f81bd" w:themeColor="accent1"/>
      <w:sz w:val="18"/>
      <w:szCs w:val="18"/>
    </w:rPr>
  </w:style>
  <w:style w:type="table" w:styleId="925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26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27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28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29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30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32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3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54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55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56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57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58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59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60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61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962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963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964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65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66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67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68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69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70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71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72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3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4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6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7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8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9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0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1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3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4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8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89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90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91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92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93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94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95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6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7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8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9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0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1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2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3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4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5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6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7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8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09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10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11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12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13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14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15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16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17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18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19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20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21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22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23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24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025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026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027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028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029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030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31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32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33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34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35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36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37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38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039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040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041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042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043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044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45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46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47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48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49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50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51">
    <w:name w:val="Hyperlink"/>
    <w:uiPriority w:val="99"/>
    <w:unhideWhenUsed/>
    <w:rPr>
      <w:color w:val="0000ff" w:themeColor="hyperlink"/>
      <w:u w:val="single"/>
    </w:rPr>
  </w:style>
  <w:style w:type="paragraph" w:styleId="1052">
    <w:name w:val="footnote text"/>
    <w:basedOn w:val="1104"/>
    <w:link w:val="1053"/>
    <w:uiPriority w:val="99"/>
    <w:semiHidden/>
    <w:unhideWhenUsed/>
    <w:pPr>
      <w:spacing w:after="40" w:line="240" w:lineRule="auto"/>
    </w:pPr>
    <w:rPr>
      <w:sz w:val="18"/>
    </w:rPr>
  </w:style>
  <w:style w:type="character" w:styleId="1053">
    <w:name w:val="Footnote Text Char"/>
    <w:link w:val="1052"/>
    <w:uiPriority w:val="99"/>
    <w:rPr>
      <w:sz w:val="18"/>
    </w:rPr>
  </w:style>
  <w:style w:type="character" w:styleId="1054">
    <w:name w:val="footnote reference"/>
    <w:uiPriority w:val="99"/>
    <w:unhideWhenUsed/>
    <w:rPr>
      <w:vertAlign w:val="superscript"/>
    </w:rPr>
  </w:style>
  <w:style w:type="paragraph" w:styleId="1055">
    <w:name w:val="endnote text"/>
    <w:basedOn w:val="1104"/>
    <w:link w:val="1056"/>
    <w:uiPriority w:val="99"/>
    <w:semiHidden/>
    <w:unhideWhenUsed/>
    <w:pPr>
      <w:spacing w:after="0" w:line="240" w:lineRule="auto"/>
    </w:pPr>
    <w:rPr>
      <w:sz w:val="20"/>
    </w:rPr>
  </w:style>
  <w:style w:type="character" w:styleId="1056">
    <w:name w:val="Endnote Text Char"/>
    <w:link w:val="1055"/>
    <w:uiPriority w:val="99"/>
    <w:rPr>
      <w:sz w:val="20"/>
    </w:rPr>
  </w:style>
  <w:style w:type="character" w:styleId="1057">
    <w:name w:val="endnote reference"/>
    <w:uiPriority w:val="99"/>
    <w:semiHidden/>
    <w:unhideWhenUsed/>
    <w:rPr>
      <w:vertAlign w:val="superscript"/>
    </w:rPr>
  </w:style>
  <w:style w:type="paragraph" w:styleId="1058">
    <w:name w:val="toc 1"/>
    <w:basedOn w:val="1104"/>
    <w:next w:val="1104"/>
    <w:uiPriority w:val="39"/>
    <w:unhideWhenUsed/>
    <w:pPr>
      <w:ind w:left="0" w:right="0" w:firstLine="0"/>
      <w:spacing w:after="57"/>
    </w:pPr>
  </w:style>
  <w:style w:type="paragraph" w:styleId="1059">
    <w:name w:val="toc 2"/>
    <w:basedOn w:val="1104"/>
    <w:next w:val="1104"/>
    <w:uiPriority w:val="39"/>
    <w:unhideWhenUsed/>
    <w:pPr>
      <w:ind w:left="283" w:right="0" w:firstLine="0"/>
      <w:spacing w:after="57"/>
    </w:pPr>
  </w:style>
  <w:style w:type="paragraph" w:styleId="1060">
    <w:name w:val="toc 3"/>
    <w:basedOn w:val="1104"/>
    <w:next w:val="1104"/>
    <w:uiPriority w:val="39"/>
    <w:unhideWhenUsed/>
    <w:pPr>
      <w:ind w:left="567" w:right="0" w:firstLine="0"/>
      <w:spacing w:after="57"/>
    </w:pPr>
  </w:style>
  <w:style w:type="paragraph" w:styleId="1061">
    <w:name w:val="toc 4"/>
    <w:basedOn w:val="1104"/>
    <w:next w:val="1104"/>
    <w:uiPriority w:val="39"/>
    <w:unhideWhenUsed/>
    <w:pPr>
      <w:ind w:left="850" w:right="0" w:firstLine="0"/>
      <w:spacing w:after="57"/>
    </w:pPr>
  </w:style>
  <w:style w:type="paragraph" w:styleId="1062">
    <w:name w:val="toc 5"/>
    <w:basedOn w:val="1104"/>
    <w:next w:val="1104"/>
    <w:uiPriority w:val="39"/>
    <w:unhideWhenUsed/>
    <w:pPr>
      <w:ind w:left="1134" w:right="0" w:firstLine="0"/>
      <w:spacing w:after="57"/>
    </w:pPr>
  </w:style>
  <w:style w:type="paragraph" w:styleId="1063">
    <w:name w:val="toc 6"/>
    <w:basedOn w:val="1104"/>
    <w:next w:val="1104"/>
    <w:uiPriority w:val="39"/>
    <w:unhideWhenUsed/>
    <w:pPr>
      <w:ind w:left="1417" w:right="0" w:firstLine="0"/>
      <w:spacing w:after="57"/>
    </w:pPr>
  </w:style>
  <w:style w:type="paragraph" w:styleId="1064">
    <w:name w:val="toc 7"/>
    <w:basedOn w:val="1104"/>
    <w:next w:val="1104"/>
    <w:uiPriority w:val="39"/>
    <w:unhideWhenUsed/>
    <w:pPr>
      <w:ind w:left="1701" w:right="0" w:firstLine="0"/>
      <w:spacing w:after="57"/>
    </w:pPr>
  </w:style>
  <w:style w:type="paragraph" w:styleId="1065">
    <w:name w:val="toc 8"/>
    <w:basedOn w:val="1104"/>
    <w:next w:val="1104"/>
    <w:uiPriority w:val="39"/>
    <w:unhideWhenUsed/>
    <w:pPr>
      <w:ind w:left="1984" w:right="0" w:firstLine="0"/>
      <w:spacing w:after="57"/>
    </w:pPr>
  </w:style>
  <w:style w:type="paragraph" w:styleId="1066">
    <w:name w:val="toc 9"/>
    <w:basedOn w:val="1104"/>
    <w:next w:val="1104"/>
    <w:uiPriority w:val="39"/>
    <w:unhideWhenUsed/>
    <w:pPr>
      <w:ind w:left="2268" w:right="0" w:firstLine="0"/>
      <w:spacing w:after="57"/>
    </w:pPr>
  </w:style>
  <w:style w:type="paragraph" w:styleId="1067">
    <w:name w:val="TOC Heading"/>
    <w:uiPriority w:val="39"/>
    <w:unhideWhenUsed/>
  </w:style>
  <w:style w:type="paragraph" w:styleId="1068">
    <w:name w:val="table of figures"/>
    <w:basedOn w:val="1104"/>
    <w:next w:val="1104"/>
    <w:uiPriority w:val="99"/>
    <w:unhideWhenUsed/>
    <w:pPr>
      <w:spacing w:after="0" w:afterAutospacing="0"/>
    </w:pPr>
  </w:style>
  <w:style w:type="paragraph" w:styleId="1069">
    <w:name w:val="Normal"/>
    <w:next w:val="1069"/>
    <w:link w:val="1069"/>
    <w:qFormat/>
    <w:rPr>
      <w:sz w:val="24"/>
      <w:szCs w:val="24"/>
      <w:lang w:val="ru-RU" w:eastAsia="ru-RU" w:bidi="ar-SA"/>
    </w:rPr>
  </w:style>
  <w:style w:type="paragraph" w:styleId="1070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1069"/>
    <w:next w:val="1069"/>
    <w:link w:val="1069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1071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1069"/>
    <w:next w:val="1069"/>
    <w:link w:val="1069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1072">
    <w:name w:val="Заголовок 3"/>
    <w:basedOn w:val="1069"/>
    <w:next w:val="1069"/>
    <w:link w:val="1069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1073">
    <w:name w:val="Заголовок 4"/>
    <w:basedOn w:val="1069"/>
    <w:next w:val="1069"/>
    <w:link w:val="1069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1074">
    <w:name w:val="Заголовок 5"/>
    <w:basedOn w:val="1069"/>
    <w:next w:val="1069"/>
    <w:link w:val="1069"/>
    <w:qFormat/>
    <w:pPr>
      <w:keepNext/>
      <w:outlineLvl w:val="4"/>
    </w:pPr>
    <w:rPr>
      <w:b/>
      <w:bCs/>
      <w:szCs w:val="20"/>
    </w:rPr>
  </w:style>
  <w:style w:type="paragraph" w:styleId="1075">
    <w:name w:val="Заголовок 6"/>
    <w:basedOn w:val="1069"/>
    <w:next w:val="1069"/>
    <w:link w:val="1069"/>
    <w:qFormat/>
    <w:pPr>
      <w:keepNext/>
      <w:spacing w:line="360" w:lineRule="auto"/>
      <w:outlineLvl w:val="5"/>
    </w:pPr>
    <w:rPr>
      <w:szCs w:val="20"/>
    </w:rPr>
  </w:style>
  <w:style w:type="paragraph" w:styleId="1076">
    <w:name w:val="Заголовок 7"/>
    <w:basedOn w:val="1069"/>
    <w:next w:val="1069"/>
    <w:link w:val="1069"/>
    <w:qFormat/>
    <w:pPr>
      <w:jc w:val="center"/>
      <w:keepNext/>
      <w:outlineLvl w:val="6"/>
    </w:pPr>
    <w:rPr>
      <w:b/>
      <w:bCs/>
    </w:rPr>
  </w:style>
  <w:style w:type="paragraph" w:styleId="1077">
    <w:name w:val="Заголовок 8"/>
    <w:basedOn w:val="1069"/>
    <w:next w:val="1069"/>
    <w:link w:val="1069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1078">
    <w:name w:val="Заголовок 9"/>
    <w:basedOn w:val="1069"/>
    <w:next w:val="1069"/>
    <w:link w:val="1069"/>
    <w:qFormat/>
    <w:pPr>
      <w:jc w:val="center"/>
      <w:keepNext/>
      <w:outlineLvl w:val="8"/>
    </w:pPr>
    <w:rPr>
      <w:szCs w:val="20"/>
    </w:rPr>
  </w:style>
  <w:style w:type="character" w:styleId="1079">
    <w:name w:val="Основной шрифт абзаца"/>
    <w:next w:val="1079"/>
    <w:link w:val="1069"/>
    <w:semiHidden/>
  </w:style>
  <w:style w:type="table" w:styleId="1080">
    <w:name w:val="Обычная таблица"/>
    <w:next w:val="1080"/>
    <w:link w:val="1069"/>
    <w:semiHidden/>
    <w:tblPr/>
  </w:style>
  <w:style w:type="numbering" w:styleId="1081">
    <w:name w:val="Нет списка"/>
    <w:next w:val="1081"/>
    <w:link w:val="1069"/>
    <w:semiHidden/>
  </w:style>
  <w:style w:type="paragraph" w:styleId="1082">
    <w:name w:val=" Знак Знак Знак1 Знак Знак Знак Знак Знак Знак Знак"/>
    <w:basedOn w:val="1069"/>
    <w:next w:val="1082"/>
    <w:link w:val="106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83">
    <w:name w:val="Название"/>
    <w:basedOn w:val="1069"/>
    <w:next w:val="1083"/>
    <w:link w:val="1069"/>
    <w:qFormat/>
    <w:pPr>
      <w:jc w:val="center"/>
    </w:pPr>
    <w:rPr>
      <w:b/>
      <w:sz w:val="22"/>
      <w:szCs w:val="20"/>
    </w:rPr>
  </w:style>
  <w:style w:type="character" w:styleId="1084">
    <w:name w:val="Гиперссылка"/>
    <w:next w:val="1084"/>
    <w:link w:val="1069"/>
    <w:rPr>
      <w:color w:val="0000ff"/>
      <w:u w:val="single"/>
    </w:rPr>
  </w:style>
  <w:style w:type="paragraph" w:styleId="1085">
    <w:name w:val="xl34"/>
    <w:basedOn w:val="1069"/>
    <w:next w:val="1085"/>
    <w:link w:val="1069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1086">
    <w:name w:val="Основной текст 3"/>
    <w:basedOn w:val="1069"/>
    <w:next w:val="1086"/>
    <w:link w:val="1127"/>
    <w:pPr>
      <w:jc w:val="both"/>
    </w:pPr>
    <w:rPr>
      <w:sz w:val="26"/>
      <w:szCs w:val="20"/>
      <w:lang w:val="en-US" w:eastAsia="en-US"/>
    </w:rPr>
  </w:style>
  <w:style w:type="paragraph" w:styleId="1087">
    <w:name w:val="Основной текст с отступом"/>
    <w:basedOn w:val="1069"/>
    <w:next w:val="1087"/>
    <w:link w:val="1124"/>
    <w:uiPriority w:val="99"/>
    <w:pPr>
      <w:ind w:left="567"/>
      <w:jc w:val="both"/>
    </w:pPr>
    <w:rPr>
      <w:szCs w:val="20"/>
      <w:lang w:val="en-US" w:eastAsia="en-US"/>
    </w:rPr>
  </w:style>
  <w:style w:type="paragraph" w:styleId="1088">
    <w:name w:val="xl27"/>
    <w:basedOn w:val="1069"/>
    <w:next w:val="1088"/>
    <w:link w:val="1069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1089">
    <w:name w:val="Normal1"/>
    <w:next w:val="1089"/>
    <w:link w:val="1069"/>
    <w:pPr>
      <w:spacing w:before="100" w:after="100"/>
    </w:pPr>
    <w:rPr>
      <w:sz w:val="24"/>
      <w:lang w:val="ru-RU" w:eastAsia="ru-RU" w:bidi="ar-SA"/>
    </w:rPr>
  </w:style>
  <w:style w:type="paragraph" w:styleId="1090">
    <w:name w:val="Основной текст,Основной текст таблиц,в таблице,таблицы,в таблицах, в таблице, в таблицах"/>
    <w:basedOn w:val="1069"/>
    <w:next w:val="1090"/>
    <w:link w:val="1069"/>
    <w:rPr>
      <w:sz w:val="28"/>
    </w:rPr>
  </w:style>
  <w:style w:type="paragraph" w:styleId="1091">
    <w:name w:val="Верхний колонтитул, Знак23,Знак23"/>
    <w:basedOn w:val="1069"/>
    <w:next w:val="1091"/>
    <w:link w:val="1121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1092">
    <w:name w:val="Номер страницы"/>
    <w:basedOn w:val="1079"/>
    <w:next w:val="1092"/>
    <w:link w:val="1069"/>
  </w:style>
  <w:style w:type="paragraph" w:styleId="1093">
    <w:name w:val="Нижний колонтитул"/>
    <w:basedOn w:val="1069"/>
    <w:next w:val="1093"/>
    <w:link w:val="1069"/>
    <w:pPr>
      <w:tabs>
        <w:tab w:val="center" w:pos="4677" w:leader="none"/>
        <w:tab w:val="right" w:pos="9355" w:leader="none"/>
      </w:tabs>
    </w:pPr>
  </w:style>
  <w:style w:type="paragraph" w:styleId="1094">
    <w:name w:val="Основной текст 2"/>
    <w:basedOn w:val="1069"/>
    <w:next w:val="1094"/>
    <w:link w:val="1069"/>
    <w:pPr>
      <w:jc w:val="center"/>
    </w:pPr>
  </w:style>
  <w:style w:type="paragraph" w:styleId="1095">
    <w:name w:val="Цитата"/>
    <w:basedOn w:val="1069"/>
    <w:next w:val="1095"/>
    <w:link w:val="1069"/>
    <w:pPr>
      <w:ind w:left="360" w:right="141"/>
    </w:pPr>
  </w:style>
  <w:style w:type="paragraph" w:styleId="1096">
    <w:name w:val="Основной текст с отступом 2"/>
    <w:basedOn w:val="1069"/>
    <w:next w:val="1096"/>
    <w:link w:val="1128"/>
    <w:pPr>
      <w:ind w:left="912"/>
      <w:jc w:val="both"/>
    </w:pPr>
    <w:rPr>
      <w:lang w:val="en-US" w:eastAsia="en-US"/>
    </w:rPr>
  </w:style>
  <w:style w:type="paragraph" w:styleId="1097">
    <w:name w:val="Нумерованный список"/>
    <w:basedOn w:val="1069"/>
    <w:next w:val="1097"/>
    <w:link w:val="1069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1098">
    <w:name w:val="Текст выноски"/>
    <w:basedOn w:val="1069"/>
    <w:next w:val="1098"/>
    <w:link w:val="1069"/>
    <w:semiHidden/>
    <w:rPr>
      <w:rFonts w:ascii="Tahoma" w:hAnsi="Tahoma" w:cs="Tahoma"/>
      <w:sz w:val="16"/>
      <w:szCs w:val="16"/>
    </w:rPr>
  </w:style>
  <w:style w:type="paragraph" w:styleId="1099">
    <w:name w:val="Основной текст с отступом 3"/>
    <w:basedOn w:val="1069"/>
    <w:next w:val="1099"/>
    <w:link w:val="1069"/>
    <w:pPr>
      <w:ind w:right="-1" w:firstLine="426"/>
      <w:jc w:val="both"/>
    </w:pPr>
    <w:rPr>
      <w:szCs w:val="20"/>
    </w:rPr>
  </w:style>
  <w:style w:type="paragraph" w:styleId="1100">
    <w:name w:val="Схема документа"/>
    <w:basedOn w:val="1069"/>
    <w:next w:val="1100"/>
    <w:link w:val="106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1101">
    <w:name w:val="Сетка таблицы"/>
    <w:basedOn w:val="1080"/>
    <w:next w:val="1101"/>
    <w:link w:val="1069"/>
    <w:tblPr/>
  </w:style>
  <w:style w:type="paragraph" w:styleId="1102">
    <w:name w:val="Default Paragraph Font Para Char Char Знак Знак Знак Знак"/>
    <w:basedOn w:val="1069"/>
    <w:next w:val="1102"/>
    <w:link w:val="106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03">
    <w:name w:val="Текст примечания"/>
    <w:basedOn w:val="1069"/>
    <w:next w:val="1103"/>
    <w:link w:val="1136"/>
    <w:semiHidden/>
    <w:rPr>
      <w:sz w:val="20"/>
      <w:szCs w:val="20"/>
    </w:rPr>
  </w:style>
  <w:style w:type="paragraph" w:styleId="1104">
    <w:name w:val="Normal"/>
    <w:basedOn w:val="1069"/>
    <w:next w:val="1104"/>
    <w:link w:val="1069"/>
    <w:pPr>
      <w:spacing w:before="100" w:after="100"/>
    </w:pPr>
  </w:style>
  <w:style w:type="paragraph" w:styleId="1105">
    <w:name w:val="a"/>
    <w:basedOn w:val="1069"/>
    <w:next w:val="1105"/>
    <w:link w:val="1069"/>
    <w:pPr>
      <w:ind w:firstLine="720"/>
      <w:jc w:val="both"/>
    </w:pPr>
  </w:style>
  <w:style w:type="paragraph" w:styleId="1106">
    <w:name w:val="Пункт"/>
    <w:basedOn w:val="1069"/>
    <w:next w:val="1106"/>
    <w:link w:val="1069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1107">
    <w:name w:val=" Знак"/>
    <w:basedOn w:val="1069"/>
    <w:next w:val="1107"/>
    <w:link w:val="106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08">
    <w:name w:val="Оглавление 5"/>
    <w:basedOn w:val="1069"/>
    <w:next w:val="1069"/>
    <w:link w:val="1069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1109">
    <w:name w:val="1 Знак"/>
    <w:basedOn w:val="1069"/>
    <w:next w:val="1109"/>
    <w:link w:val="106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10">
    <w:name w:val="FR1"/>
    <w:next w:val="1110"/>
    <w:link w:val="1069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1111">
    <w:name w:val="Знак Знак Знак1 Знак Знак Знак Знак Знак Знак Знак"/>
    <w:basedOn w:val="1069"/>
    <w:next w:val="1111"/>
    <w:link w:val="106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112">
    <w:name w:val="Просмотренная гиперссылка"/>
    <w:next w:val="1112"/>
    <w:link w:val="1069"/>
    <w:rPr>
      <w:color w:val="800080"/>
      <w:u w:val="single"/>
    </w:rPr>
  </w:style>
  <w:style w:type="paragraph" w:styleId="1113">
    <w:name w:val="Подзаголовок"/>
    <w:basedOn w:val="1069"/>
    <w:next w:val="1113"/>
    <w:link w:val="1069"/>
    <w:qFormat/>
    <w:rPr>
      <w:sz w:val="36"/>
    </w:rPr>
  </w:style>
  <w:style w:type="paragraph" w:styleId="1114">
    <w:name w:val="Маркированный список"/>
    <w:basedOn w:val="1069"/>
    <w:next w:val="1114"/>
    <w:link w:val="1069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1115">
    <w:name w:val="xl83"/>
    <w:basedOn w:val="1069"/>
    <w:next w:val="1115"/>
    <w:link w:val="1069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1116">
    <w:name w:val="Подпункт"/>
    <w:basedOn w:val="1106"/>
    <w:next w:val="1116"/>
    <w:link w:val="1069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1117">
    <w:name w:val="Подподпункт"/>
    <w:basedOn w:val="1116"/>
    <w:next w:val="1117"/>
    <w:link w:val="1069"/>
    <w:pPr>
      <w:ind w:left="1843" w:hanging="567"/>
      <w:tabs>
        <w:tab w:val="clear" w:pos="1276" w:leader="none"/>
        <w:tab w:val="num" w:pos="1843" w:leader="none"/>
      </w:tabs>
    </w:pPr>
  </w:style>
  <w:style w:type="paragraph" w:styleId="1118">
    <w:name w:val="Название объекта"/>
    <w:basedOn w:val="1069"/>
    <w:next w:val="1069"/>
    <w:link w:val="1069"/>
    <w:qFormat/>
    <w:rPr>
      <w:b/>
      <w:bCs/>
      <w:sz w:val="20"/>
      <w:szCs w:val="20"/>
    </w:rPr>
  </w:style>
  <w:style w:type="paragraph" w:styleId="1119">
    <w:name w:val=" Знак1 Знак Знак Знак Знак Знак Знак"/>
    <w:basedOn w:val="1069"/>
    <w:next w:val="1119"/>
    <w:link w:val="1069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1120">
    <w:name w:val=" Знак2"/>
    <w:basedOn w:val="1069"/>
    <w:next w:val="1120"/>
    <w:link w:val="106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121">
    <w:name w:val="Верхний колонтитул Знак, Знак23 Знак,Знак23 Знак"/>
    <w:next w:val="1121"/>
    <w:link w:val="1091"/>
    <w:rPr>
      <w:lang w:val="ru-RU" w:eastAsia="ru-RU" w:bidi="ar-SA"/>
    </w:rPr>
  </w:style>
  <w:style w:type="character" w:styleId="1122">
    <w:name w:val=" Знак Знак2"/>
    <w:next w:val="1122"/>
    <w:link w:val="1069"/>
    <w:rPr>
      <w:lang w:val="ru-RU" w:eastAsia="ru-RU" w:bidi="ar-SA"/>
    </w:rPr>
  </w:style>
  <w:style w:type="paragraph" w:styleId="1123">
    <w:name w:val="Times 12"/>
    <w:basedOn w:val="1069"/>
    <w:next w:val="1123"/>
    <w:link w:val="1069"/>
    <w:pPr>
      <w:ind w:firstLine="567"/>
      <w:jc w:val="both"/>
    </w:pPr>
    <w:rPr>
      <w:szCs w:val="20"/>
    </w:rPr>
  </w:style>
  <w:style w:type="character" w:styleId="1124">
    <w:name w:val="Основной текст с отступом Знак"/>
    <w:next w:val="1124"/>
    <w:link w:val="1087"/>
    <w:uiPriority w:val="99"/>
    <w:rPr>
      <w:sz w:val="24"/>
    </w:rPr>
  </w:style>
  <w:style w:type="paragraph" w:styleId="1125">
    <w:name w:val="Таблица текст"/>
    <w:basedOn w:val="1069"/>
    <w:next w:val="1125"/>
    <w:link w:val="1069"/>
    <w:pPr>
      <w:ind w:left="57" w:right="57"/>
      <w:spacing w:before="40" w:after="40"/>
    </w:pPr>
    <w:rPr>
      <w:szCs w:val="20"/>
    </w:rPr>
  </w:style>
  <w:style w:type="paragraph" w:styleId="1126">
    <w:name w:val="Обычный2"/>
    <w:next w:val="1126"/>
    <w:link w:val="1069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1127">
    <w:name w:val="Основной текст 3 Знак"/>
    <w:next w:val="1127"/>
    <w:link w:val="1086"/>
    <w:rPr>
      <w:sz w:val="26"/>
    </w:rPr>
  </w:style>
  <w:style w:type="character" w:styleId="1128">
    <w:name w:val="Основной текст с отступом 2 Знак"/>
    <w:next w:val="1128"/>
    <w:link w:val="1096"/>
    <w:rPr>
      <w:sz w:val="24"/>
      <w:szCs w:val="24"/>
    </w:rPr>
  </w:style>
  <w:style w:type="paragraph" w:styleId="1129">
    <w:name w:val="Абзац списка"/>
    <w:basedOn w:val="1069"/>
    <w:next w:val="1129"/>
    <w:link w:val="1069"/>
    <w:uiPriority w:val="34"/>
    <w:qFormat/>
    <w:pPr>
      <w:ind w:left="708"/>
    </w:pPr>
  </w:style>
  <w:style w:type="paragraph" w:styleId="1130">
    <w:name w:val="Таблица шапка"/>
    <w:basedOn w:val="1069"/>
    <w:next w:val="1130"/>
    <w:link w:val="1069"/>
    <w:pPr>
      <w:ind w:left="57" w:right="57"/>
      <w:keepNext/>
      <w:spacing w:before="40" w:after="40"/>
    </w:pPr>
    <w:rPr>
      <w:sz w:val="22"/>
      <w:szCs w:val="20"/>
    </w:rPr>
  </w:style>
  <w:style w:type="paragraph" w:styleId="1131">
    <w:name w:val="Текст"/>
    <w:basedOn w:val="1069"/>
    <w:next w:val="1131"/>
    <w:link w:val="1132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132">
    <w:name w:val="Текст Знак"/>
    <w:next w:val="1132"/>
    <w:link w:val="1131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133">
    <w:name w:val="notice-number3"/>
    <w:next w:val="1133"/>
    <w:link w:val="1069"/>
  </w:style>
  <w:style w:type="paragraph" w:styleId="1134">
    <w:name w:val="FTN_1"/>
    <w:basedOn w:val="1069"/>
    <w:next w:val="1134"/>
    <w:link w:val="1069"/>
    <w:pPr>
      <w:widowControl w:val="off"/>
    </w:pPr>
    <w:rPr>
      <w:rFonts w:eastAsia="Arial Unicode MS"/>
      <w:b/>
      <w:sz w:val="28"/>
      <w:szCs w:val="28"/>
    </w:rPr>
  </w:style>
  <w:style w:type="paragraph" w:styleId="1135">
    <w:name w:val="FTN_txt"/>
    <w:basedOn w:val="1069"/>
    <w:next w:val="1135"/>
    <w:link w:val="1069"/>
    <w:pPr>
      <w:jc w:val="both"/>
      <w:spacing w:line="288" w:lineRule="auto"/>
      <w:widowControl w:val="off"/>
      <w:tabs>
        <w:tab w:val="left" w:pos="1080" w:leader="none"/>
      </w:tabs>
    </w:pPr>
    <w:rPr>
      <w:rFonts w:eastAsia="Arial Unicode MS"/>
    </w:rPr>
  </w:style>
  <w:style w:type="character" w:styleId="1136">
    <w:name w:val="Текст примечания Знак"/>
    <w:next w:val="1136"/>
    <w:link w:val="1103"/>
    <w:semiHidden/>
  </w:style>
  <w:style w:type="character" w:styleId="1137">
    <w:name w:val="Знак примечания"/>
    <w:next w:val="1137"/>
    <w:link w:val="1069"/>
    <w:unhideWhenUsed/>
    <w:rPr>
      <w:sz w:val="16"/>
      <w:szCs w:val="16"/>
    </w:rPr>
  </w:style>
  <w:style w:type="character" w:styleId="1138" w:default="1">
    <w:name w:val="Default Paragraph Font"/>
    <w:uiPriority w:val="1"/>
    <w:semiHidden/>
    <w:unhideWhenUsed/>
  </w:style>
  <w:style w:type="numbering" w:styleId="1139" w:default="1">
    <w:name w:val="No List"/>
    <w:uiPriority w:val="99"/>
    <w:semiHidden/>
    <w:unhideWhenUsed/>
  </w:style>
  <w:style w:type="table" w:styleId="114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strelnikov-avi</cp:lastModifiedBy>
  <cp:revision>21</cp:revision>
  <dcterms:created xsi:type="dcterms:W3CDTF">2020-07-08T02:58:00Z</dcterms:created>
  <dcterms:modified xsi:type="dcterms:W3CDTF">2025-12-15T01:15:49Z</dcterms:modified>
  <cp:version>1048576</cp:version>
</cp:coreProperties>
</file>