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Протокол №85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рассмотрения заявок (и</w:t>
      </w:r>
      <w:r>
        <w:rPr>
          <w:b/>
          <w:bCs/>
          <w:sz w:val="28"/>
          <w:szCs w:val="28"/>
        </w:rPr>
        <w:t xml:space="preserve">тоговый протокол</w:t>
      </w:r>
      <w:r>
        <w:rPr>
          <w:b/>
          <w:bCs/>
          <w:sz w:val="28"/>
          <w:szCs w:val="28"/>
        </w:rPr>
        <w:t xml:space="preserve">)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</w:r>
      <w:r>
        <w:rPr>
          <w:b/>
          <w:color w:val="333333"/>
          <w:sz w:val="28"/>
          <w:szCs w:val="28"/>
        </w:rPr>
      </w:r>
      <w:r>
        <w:rPr>
          <w:b/>
          <w:color w:val="333333"/>
          <w:sz w:val="28"/>
          <w:szCs w:val="28"/>
        </w:rPr>
      </w:r>
    </w:p>
    <w:p>
      <w:pPr>
        <w:tabs>
          <w:tab w:val="right" w:pos="10466" w:leader="none"/>
        </w:tabs>
      </w:pPr>
      <w:r>
        <w:t xml:space="preserve">г.</w:t>
      </w:r>
      <w:r>
        <w:t xml:space="preserve"> </w:t>
      </w:r>
      <w:r>
        <w:t xml:space="preserve">Сыктывкар</w:t>
      </w:r>
      <w:r>
        <w:tab/>
      </w:r>
      <w:r>
        <w:t xml:space="preserve">15 декабря 2025</w:t>
      </w:r>
      <w:r>
        <w:t xml:space="preserve"> г.</w:t>
      </w:r>
      <w:r/>
    </w:p>
    <w:p>
      <w:pPr>
        <w:jc w:val="both"/>
        <w:rPr>
          <w:u w:val="single"/>
        </w:rPr>
      </w:pPr>
      <w:r>
        <w:rPr>
          <w:u w:val="single"/>
        </w:rPr>
      </w:r>
      <w:r>
        <w:rPr>
          <w:u w:val="single"/>
        </w:rPr>
      </w:r>
      <w:r>
        <w:rPr>
          <w:u w:val="single"/>
        </w:rPr>
      </w:r>
    </w:p>
    <w:p>
      <w:pPr>
        <w:ind w:firstLine="0"/>
        <w:jc w:val="both"/>
        <w:spacing w:line="240" w:lineRule="auto"/>
        <w:rPr>
          <w:rFonts w:eastAsia="Times New Roman"/>
          <w:lang w:eastAsia="ru-RU"/>
        </w:rPr>
      </w:pPr>
      <w:r>
        <w:rPr>
          <w:b/>
        </w:rPr>
        <w:t xml:space="preserve">Наименование </w:t>
      </w:r>
      <w:r>
        <w:rPr>
          <w:b/>
        </w:rPr>
        <w:t xml:space="preserve">предмета</w:t>
      </w:r>
      <w:r>
        <w:rPr>
          <w:b/>
        </w:rPr>
        <w:t xml:space="preserve"> закупки</w:t>
      </w:r>
      <w:r>
        <w:rPr>
          <w:b/>
          <w:bCs/>
        </w:rPr>
        <w:t xml:space="preserve">:</w:t>
      </w:r>
      <w:r>
        <w:t xml:space="preserve"> </w:t>
      </w:r>
      <w:r>
        <w:t xml:space="preserve">Оказание услуг по организации каналов связи для корпоративной сети передачи данных 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jc w:val="both"/>
        <w:spacing w:line="240" w:lineRule="auto"/>
      </w:pPr>
      <w:r>
        <w:rPr>
          <w:b/>
        </w:rPr>
        <w:t xml:space="preserve">Заказчик</w:t>
      </w:r>
      <w:r>
        <w:t xml:space="preserve">: </w:t>
      </w:r>
      <w:r>
        <w:t xml:space="preserve">Государственное автономное</w:t>
      </w:r>
      <w:r>
        <w:t xml:space="preserve"> уч</w:t>
      </w:r>
      <w:r>
        <w:t xml:space="preserve">реждение</w:t>
      </w:r>
      <w:r>
        <w:t xml:space="preserve"> Республики Коми «Центр информационных технологий»</w:t>
      </w:r>
      <w:r>
        <w:t xml:space="preserve"> (далее – ГАУ РК «ЦИТ»).</w:t>
      </w:r>
      <w:r/>
    </w:p>
    <w:p>
      <w:pPr>
        <w:jc w:val="both"/>
        <w:spacing w:line="240" w:lineRule="auto"/>
      </w:pPr>
      <w:r>
        <w:rPr>
          <w:b/>
        </w:rPr>
        <w:t xml:space="preserve">Начальная (максимальная) цена договора</w:t>
      </w:r>
      <w:r>
        <w:rPr>
          <w:b/>
          <w:bCs/>
        </w:rPr>
        <w:t xml:space="preserve">:</w:t>
      </w:r>
      <w:r>
        <w:t xml:space="preserve"> </w:t>
      </w:r>
      <w:r>
        <w:rPr>
          <w:rFonts w:eastAsiaTheme="minorEastAsia"/>
          <w:b w:val="0"/>
          <w:bCs w:val="0"/>
          <w:lang w:eastAsia="ru-RU"/>
        </w:rPr>
        <w:t xml:space="preserve">2 615 933,76 рублей</w:t>
      </w:r>
      <w:r>
        <w:rPr>
          <w:rFonts w:eastAsiaTheme="minorEastAsia"/>
          <w:b w:val="0"/>
          <w:bCs w:val="0"/>
          <w:lang w:eastAsia="ru-RU"/>
        </w:rPr>
        <w:t xml:space="preserve">.</w:t>
      </w:r>
      <w:r>
        <w:rPr>
          <w:rFonts w:eastAsiaTheme="minorEastAsia"/>
          <w:b w:val="0"/>
          <w:bCs w:val="0"/>
          <w:lang w:eastAsia="ru-RU"/>
        </w:rPr>
      </w:r>
      <w:r/>
    </w:p>
    <w:p>
      <w:pPr>
        <w:jc w:val="both"/>
        <w:spacing w:after="0" w:afterAutospacing="0" w:line="240" w:lineRule="auto"/>
        <w:shd w:val="clear" w:color="auto" w:fill="ffffff"/>
        <w:widowControl w:val="off"/>
      </w:pPr>
      <w:r>
        <w:rPr>
          <w:b/>
        </w:rPr>
        <w:t xml:space="preserve">Объем </w:t>
      </w:r>
      <w:r>
        <w:rPr>
          <w:b/>
        </w:rPr>
        <w:t xml:space="preserve">оказания услуг</w:t>
      </w:r>
      <w:r>
        <w:rPr>
          <w:b/>
        </w:rPr>
        <w:t xml:space="preserve">: </w:t>
      </w:r>
      <w:r>
        <w:t xml:space="preserve">1 </w:t>
      </w:r>
      <w:r>
        <w:t xml:space="preserve">усл</w:t>
      </w:r>
      <w:r>
        <w:t xml:space="preserve">. ед</w:t>
      </w:r>
      <w:r>
        <w:t xml:space="preserve">., </w:t>
      </w:r>
      <w:r>
        <w:t xml:space="preserve">в соответствии с Техническим заданием Раздел 2 и Проектом договора Раздел 3 Документации.</w:t>
      </w:r>
      <w:r/>
    </w:p>
    <w:p>
      <w:pPr>
        <w:ind w:firstLine="0"/>
        <w:jc w:val="both"/>
        <w:spacing w:after="0" w:afterAutospacing="0"/>
      </w:pPr>
      <w:r>
        <w:rPr>
          <w:b/>
        </w:rPr>
      </w:r>
      <w:r>
        <w:rPr>
          <w:b/>
        </w:rPr>
        <w:t xml:space="preserve">Срок исполнения договора: </w:t>
      </w:r>
      <w:r>
        <w:rPr>
          <w:b w:val="0"/>
          <w:bCs w:val="0"/>
        </w:rPr>
        <w:t xml:space="preserve">Сроки оказания услуг: </w:t>
      </w:r>
      <w:r>
        <w:rPr>
          <w:b w:val="0"/>
          <w:bCs w:val="0"/>
        </w:rPr>
        <w:t xml:space="preserve">Дата начала – с 01.01.2026. </w:t>
      </w:r>
      <w:r>
        <w:rPr>
          <w:b w:val="0"/>
          <w:bCs w:val="0"/>
        </w:rPr>
        <w:t xml:space="preserve">Дата окончания – по 31.12.2026, включительно.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Оплата по настоящему Договору осуществляется Заказчиком ежемесячно (далее – Отчетный период) в размере, определяемом в соответствии с пунктом 3.1.  Договора, на основании выставленного Исполнителем счета (счета-фактуры), отчета об оказанных у</w:t>
      </w:r>
      <w:r>
        <w:rPr>
          <w:b w:val="0"/>
          <w:bCs w:val="0"/>
        </w:rPr>
        <w:t xml:space="preserve">с</w:t>
      </w:r>
      <w:r>
        <w:rPr>
          <w:b w:val="0"/>
          <w:bCs w:val="0"/>
        </w:rPr>
        <w:t xml:space="preserve">луг Исполнителем в течение Отчетного периода в срок не более 7 (семи) рабочих дней с даты приемки оказанных услуг. Датой приемки оказанных услуг считается дата подписания Заказчиком Акта сдачи-приемки оказанных услуг (далее – Акт) либо Универсального перед</w:t>
      </w:r>
      <w:r>
        <w:rPr>
          <w:b w:val="0"/>
          <w:bCs w:val="0"/>
        </w:rPr>
        <w:t xml:space="preserve">аточного документа (далее - УПД) за Отчетный период. </w:t>
      </w:r>
      <w:r>
        <w:rPr>
          <w:b w:val="0"/>
          <w:bCs w:val="0"/>
        </w:rPr>
      </w:r>
      <w:r/>
    </w:p>
    <w:p>
      <w:pPr>
        <w:jc w:val="both"/>
        <w:spacing w:after="0" w:afterAutospacing="0"/>
        <w:shd w:val="clear" w:color="auto" w:fill="ffffff"/>
        <w:widowControl w:val="off"/>
      </w:pPr>
      <w:r>
        <w:rPr>
          <w:b/>
        </w:rPr>
        <w:t xml:space="preserve">Способ проведения закупки:</w:t>
      </w:r>
      <w:r>
        <w:t xml:space="preserve"> </w:t>
      </w:r>
      <w:r>
        <w:t xml:space="preserve">Аукцион</w:t>
      </w:r>
      <w:r>
        <w:t xml:space="preserve"> (электронная форма)</w:t>
      </w:r>
      <w:r>
        <w:t xml:space="preserve">.</w:t>
      </w:r>
      <w:r/>
    </w:p>
    <w:p>
      <w:pPr>
        <w:jc w:val="both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pStyle w:val="845"/>
        <w:ind w:firstLine="567"/>
        <w:jc w:val="both"/>
        <w:spacing w:before="0" w:beforeAutospacing="0" w:after="0" w:afterAutospacing="0"/>
        <w:rPr>
          <w:bCs/>
        </w:rPr>
      </w:pPr>
      <w:r>
        <w:t xml:space="preserve">Извещение о проведении </w:t>
      </w:r>
      <w:r>
        <w:t xml:space="preserve">аукциона</w:t>
      </w:r>
      <w:r>
        <w:t xml:space="preserve"> было размещено на сайте </w:t>
      </w:r>
      <w:r>
        <w:t xml:space="preserve">ГАУ РК «ЦИТ»</w:t>
      </w:r>
      <w:r>
        <w:t xml:space="preserve"> www.cit.rkomi.ru (№85</w:t>
      </w:r>
      <w:r>
        <w:t xml:space="preserve"> от 26</w:t>
      </w:r>
      <w:r>
        <w:t xml:space="preserve">.11.2025</w:t>
      </w:r>
      <w:r>
        <w:t xml:space="preserve">), официальном сайте единой информационной системы в сфере закупок 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zakupki</w:t>
      </w:r>
      <w:r>
        <w:t xml:space="preserve">.</w:t>
      </w:r>
      <w:r>
        <w:rPr>
          <w:lang w:val="en-US"/>
        </w:rPr>
        <w:t xml:space="preserve">gov</w:t>
      </w:r>
      <w:r>
        <w:t xml:space="preserve">.</w:t>
      </w:r>
      <w:r>
        <w:rPr>
          <w:lang w:val="en-US"/>
        </w:rPr>
        <w:t xml:space="preserve">ru</w:t>
      </w:r>
      <w:r>
        <w:rPr>
          <w:rFonts w:ascii="Arial" w:hAnsi="Arial" w:cs="Arial"/>
          <w:b/>
          <w:bCs/>
          <w:color w:val="0060a4"/>
        </w:rPr>
        <w:t xml:space="preserve"> </w:t>
      </w:r>
      <w:r>
        <w:t xml:space="preserve">(№</w:t>
      </w:r>
      <w:r>
        <w:t xml:space="preserve">32515453105</w:t>
      </w:r>
      <w:r>
        <w:t xml:space="preserve">), </w:t>
      </w:r>
      <w:r>
        <w:t xml:space="preserve">электронной торговой площадке Сбербанк-АСТ </w:t>
      </w:r>
      <w:r>
        <w:t xml:space="preserve">www.utp.sberbank-ast.ru</w:t>
      </w:r>
      <w:r>
        <w:t xml:space="preserve"> (</w:t>
      </w:r>
      <w:r>
        <w:t xml:space="preserve">SBR003-250009898000087</w:t>
      </w:r>
      <w:r>
        <w:t xml:space="preserve">)</w:t>
      </w:r>
      <w:r>
        <w:t xml:space="preserve"> (далее – электронная площадка)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bCs/>
        </w:rPr>
      </w:r>
      <w:r>
        <w:rPr>
          <w:bCs/>
        </w:rPr>
      </w:r>
    </w:p>
    <w:p>
      <w:pPr>
        <w:ind w:firstLine="567"/>
        <w:jc w:val="both"/>
      </w:pPr>
      <w:r>
        <w:t xml:space="preserve">Заседание комисси</w:t>
      </w:r>
      <w:r>
        <w:t xml:space="preserve">и по закупкам проводилось </w:t>
      </w:r>
      <w:r>
        <w:t xml:space="preserve">15.12.2025</w:t>
      </w:r>
      <w:r>
        <w:t xml:space="preserve"> года </w:t>
      </w:r>
      <w:r>
        <w:t xml:space="preserve">дистанцио</w:t>
      </w:r>
      <w:r>
        <w:t xml:space="preserve">нно.</w:t>
      </w:r>
      <w:r>
        <w:t xml:space="preserve"> </w:t>
      </w:r>
      <w:r/>
    </w:p>
    <w:p>
      <w:pPr>
        <w:ind w:firstLine="567"/>
        <w:jc w:val="both"/>
      </w:pPr>
      <w:r>
        <w:t xml:space="preserve">На заседании комиссии по закупкам из (</w:t>
      </w:r>
      <w:r>
        <w:t xml:space="preserve">3</w:t>
      </w:r>
      <w:r>
        <w:t xml:space="preserve">) ч</w:t>
      </w:r>
      <w:r>
        <w:t xml:space="preserve">ленов комиссии присутствовали (</w:t>
      </w:r>
      <w:r>
        <w:t xml:space="preserve">3</w:t>
      </w:r>
      <w:r>
        <w:t xml:space="preserve">) – </w:t>
      </w:r>
      <w:r>
        <w:t xml:space="preserve">10</w:t>
      </w:r>
      <w:r>
        <w:t xml:space="preserve">0% состава комиссии. Кворум имеется.</w:t>
      </w:r>
      <w:r/>
    </w:p>
    <w:p>
      <w:pPr>
        <w:jc w:val="both"/>
      </w:pPr>
      <w:r>
        <w:t xml:space="preserve">Состав комиссии:</w:t>
      </w:r>
      <w:r/>
    </w:p>
    <w:p>
      <w:pPr>
        <w:jc w:val="both"/>
        <w:rPr>
          <w:b/>
          <w:bCs/>
        </w:rPr>
      </w:pPr>
      <w:r>
        <w:rPr>
          <w:b/>
          <w:bCs/>
        </w:rPr>
        <w:t xml:space="preserve">Председатель комиссии: </w:t>
      </w:r>
      <w:r>
        <w:rPr>
          <w:bCs/>
        </w:rPr>
        <w:t xml:space="preserve">Виноградова Людмила Владимировна</w:t>
      </w:r>
      <w:r>
        <w:rPr>
          <w:b/>
          <w:bCs/>
        </w:rPr>
        <w:t xml:space="preserve">            </w:t>
      </w:r>
      <w:r>
        <w:rPr>
          <w:b/>
          <w:bCs/>
        </w:rPr>
      </w:r>
      <w:r>
        <w:rPr>
          <w:b/>
          <w:bCs/>
        </w:rPr>
      </w:r>
    </w:p>
    <w:p>
      <w:r>
        <w:rPr>
          <w:b/>
          <w:bCs/>
        </w:rPr>
        <w:t xml:space="preserve">Член</w:t>
      </w:r>
      <w:r>
        <w:rPr>
          <w:b/>
          <w:bCs/>
        </w:rPr>
        <w:t xml:space="preserve"> комиссии:</w:t>
      </w:r>
      <w:r>
        <w:t xml:space="preserve"> Попова</w:t>
      </w:r>
      <w:r>
        <w:t xml:space="preserve"> Марина Владимировна</w:t>
      </w:r>
      <w:r/>
    </w:p>
    <w:p>
      <w:pPr>
        <w:jc w:val="both"/>
        <w:rPr>
          <w:bCs/>
        </w:rPr>
      </w:pPr>
      <w:r>
        <w:rPr>
          <w:b/>
          <w:bCs/>
        </w:rPr>
        <w:t xml:space="preserve">Секретарь </w:t>
      </w:r>
      <w:r>
        <w:rPr>
          <w:b/>
          <w:bCs/>
        </w:rPr>
        <w:t xml:space="preserve">комиссии: </w:t>
      </w:r>
      <w:r>
        <w:rPr>
          <w:bCs/>
        </w:rPr>
        <w:t xml:space="preserve">Жилина Марина Николаевна</w:t>
      </w:r>
      <w:r>
        <w:rPr>
          <w:bCs/>
        </w:rPr>
      </w:r>
      <w:r>
        <w:rPr>
          <w:bCs/>
        </w:rPr>
      </w:r>
    </w:p>
    <w:p>
      <w:pPr>
        <w:jc w:val="both"/>
      </w:pPr>
      <w:r/>
      <w:r/>
    </w:p>
    <w:p>
      <w:pPr>
        <w:ind w:firstLine="540"/>
        <w:jc w:val="both"/>
      </w:pPr>
      <w:r>
        <w:t xml:space="preserve">До окончания срока подачи </w:t>
      </w:r>
      <w:r>
        <w:t xml:space="preserve">заявок, </w:t>
      </w:r>
      <w:r>
        <w:t xml:space="preserve">12.12.2025</w:t>
      </w:r>
      <w:r>
        <w:t xml:space="preserve">г. 10</w:t>
      </w:r>
      <w:r>
        <w:t xml:space="preserve"> часов 00</w:t>
      </w:r>
      <w:r>
        <w:t xml:space="preserve"> минут включительно, по времени сервера </w:t>
      </w:r>
      <w:r>
        <w:t xml:space="preserve">электронной </w:t>
      </w:r>
      <w:r>
        <w:t xml:space="preserve">площадки, ука</w:t>
      </w:r>
      <w:r>
        <w:t xml:space="preserve">занного в </w:t>
      </w:r>
      <w:r>
        <w:t xml:space="preserve">извещении, был</w:t>
      </w:r>
      <w:r>
        <w:t xml:space="preserve">а</w:t>
      </w:r>
      <w:r>
        <w:t xml:space="preserve"> </w:t>
      </w:r>
      <w:r>
        <w:t xml:space="preserve">подан</w:t>
      </w:r>
      <w:r>
        <w:t xml:space="preserve">а</w:t>
      </w:r>
      <w:r>
        <w:t xml:space="preserve"> </w:t>
      </w:r>
      <w:r>
        <w:rPr>
          <w:b/>
        </w:rPr>
        <w:t xml:space="preserve">1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b/>
        </w:rPr>
        <w:t xml:space="preserve">Одна</w:t>
      </w:r>
      <w:r>
        <w:rPr>
          <w:b/>
        </w:rPr>
        <w:t xml:space="preserve">) </w:t>
      </w:r>
      <w:r>
        <w:rPr>
          <w:b/>
        </w:rPr>
        <w:t xml:space="preserve">заяв</w:t>
      </w:r>
      <w:r>
        <w:rPr>
          <w:b/>
        </w:rPr>
        <w:t xml:space="preserve">ка</w:t>
      </w:r>
      <w:r>
        <w:rPr>
          <w:b/>
        </w:rPr>
        <w:t xml:space="preserve"> </w:t>
      </w:r>
      <w:r>
        <w:t xml:space="preserve">на</w:t>
      </w:r>
      <w:r>
        <w:t xml:space="preserve"> участие</w:t>
      </w:r>
      <w:r>
        <w:t xml:space="preserve"> в </w:t>
      </w:r>
      <w:r>
        <w:t xml:space="preserve">аукционе</w:t>
      </w:r>
      <w:r>
        <w:t xml:space="preserve">, </w:t>
      </w:r>
      <w:r>
        <w:t xml:space="preserve">зарегистрированная</w:t>
      </w:r>
      <w:r>
        <w:t xml:space="preserve"> </w:t>
      </w:r>
      <w:r>
        <w:t xml:space="preserve">оператором</w:t>
      </w:r>
      <w:r>
        <w:t xml:space="preserve"> электронной площадки.</w:t>
      </w:r>
      <w:r/>
    </w:p>
    <w:p>
      <w:pPr>
        <w:ind w:firstLine="567"/>
        <w:jc w:val="both"/>
      </w:pPr>
      <w:r>
        <w:t xml:space="preserve">Сведения о</w:t>
      </w:r>
      <w:r>
        <w:t xml:space="preserve"> решении комиссии по закупкам по результатам рассмотрения заявок</w:t>
      </w:r>
      <w:r>
        <w:t xml:space="preserve"> </w:t>
      </w:r>
      <w:r>
        <w:t xml:space="preserve">на участие в аукционе</w:t>
      </w:r>
      <w:r>
        <w:t xml:space="preserve"> на предмет соответствия требованиям Положе</w:t>
      </w:r>
      <w:r>
        <w:t xml:space="preserve">ния о закупках товаров, работ, </w:t>
      </w:r>
      <w:r>
        <w:t xml:space="preserve">услуг ГАУ РК «ЦИТ» и документации о закупке.</w:t>
      </w:r>
      <w:r/>
    </w:p>
    <w:p>
      <w:pPr>
        <w:ind w:firstLine="567"/>
        <w:jc w:val="both"/>
      </w:pPr>
      <w:r/>
      <w:r/>
    </w:p>
    <w:tbl>
      <w:tblPr>
        <w:tblStyle w:val="848"/>
        <w:tblW w:w="995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42"/>
        <w:gridCol w:w="2806"/>
        <w:gridCol w:w="1667"/>
        <w:gridCol w:w="1321"/>
        <w:gridCol w:w="2223"/>
      </w:tblGrid>
      <w:tr>
        <w:tblPrEx/>
        <w:trPr>
          <w:trHeight w:val="1302"/>
        </w:trPr>
        <w:tc>
          <w:tcPr>
            <w:tcBorders>
              <w:right w:val="single" w:color="auto" w:sz="4" w:space="0"/>
            </w:tcBorders>
            <w:tcW w:w="1667" w:type="dxa"/>
            <w:textDirection w:val="lrTb"/>
            <w:noWrap w:val="false"/>
          </w:tcPr>
          <w:p>
            <w:pPr>
              <w:jc w:val="center"/>
            </w:pPr>
            <w:r>
              <w:t xml:space="preserve">Номер заявки</w:t>
            </w:r>
            <w:r/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(согласно информации электронной площадки)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2409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 на электронной площадке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(согласно информации электронной площадки)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667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Результаты рассмотрения заявок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134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Решение комиссии по закупкам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auto" w:sz="4" w:space="0"/>
            </w:tcBorders>
            <w:tcW w:w="2223" w:type="dxa"/>
            <w:textDirection w:val="lrTb"/>
            <w:noWrap w:val="false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Сведения о решении каждого члена комиссии по закупкам</w:t>
            </w:r>
            <w:r>
              <w:rPr>
                <w:bCs/>
                <w:sz w:val="22"/>
                <w:szCs w:val="22"/>
              </w:rPr>
            </w:r>
            <w:r>
              <w:rPr>
                <w:bCs/>
                <w:sz w:val="22"/>
                <w:szCs w:val="22"/>
              </w:rPr>
            </w:r>
          </w:p>
        </w:tc>
      </w:tr>
      <w:tr>
        <w:tblPrEx/>
        <w:trPr>
          <w:trHeight w:val="699"/>
        </w:trPr>
        <w:tc>
          <w:tcPr>
            <w:shd w:val="clear" w:color="auto" w:fill="auto"/>
            <w:tcW w:w="16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 xml:space="preserve">5875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auto"/>
            <w:tcW w:w="240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 xml:space="preserve">10.12.2025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 xml:space="preserve">17:59:35:457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r>
            <w:r/>
          </w:p>
        </w:tc>
        <w:tc>
          <w:tcPr>
            <w:shd w:val="clear" w:color="auto" w:fill="auto"/>
            <w:tcW w:w="1667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Соответствует требованиям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W w:w="1134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Допущен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W w:w="2223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«За» - единогласно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jc w:val="both"/>
      </w:pPr>
      <w:r/>
      <w:r/>
    </w:p>
    <w:p>
      <w:pPr>
        <w:jc w:val="both"/>
      </w:pPr>
      <w:r>
        <w:t xml:space="preserve">К</w:t>
      </w:r>
      <w:r>
        <w:t xml:space="preserve">оличеств</w:t>
      </w:r>
      <w:r>
        <w:t xml:space="preserve">о</w:t>
      </w:r>
      <w:r>
        <w:t xml:space="preserve"> заявок на участие в закупке</w:t>
      </w:r>
      <w:r>
        <w:t xml:space="preserve">,</w:t>
      </w:r>
      <w:r>
        <w:t xml:space="preserve"> которые отклонены </w:t>
      </w:r>
      <w:r>
        <w:t xml:space="preserve">– 0</w:t>
      </w:r>
      <w:r>
        <w:t xml:space="preserve"> заявок.</w:t>
      </w:r>
      <w:r/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  <w:rPr>
          <w:b/>
          <w:bCs/>
          <w:highlight w:val="none"/>
        </w:rPr>
      </w:pPr>
      <w:r>
        <w:rPr>
          <w:b/>
        </w:rPr>
        <w:t xml:space="preserve">Решение комиссии: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contextualSpacing/>
        <w:jc w:val="both"/>
        <w:tabs>
          <w:tab w:val="left" w:pos="540" w:leader="none"/>
          <w:tab w:val="left" w:pos="900" w:leader="none"/>
        </w:tabs>
      </w:pPr>
      <w:r>
        <w:t xml:space="preserve">          </w:t>
      </w:r>
      <w:r>
        <w:t xml:space="preserve">В </w:t>
      </w:r>
      <w:r>
        <w:t xml:space="preserve">соответствии с</w:t>
      </w:r>
      <w:r>
        <w:t xml:space="preserve"> п. 1.13.3</w:t>
      </w:r>
      <w:r>
        <w:t xml:space="preserve">.</w:t>
      </w:r>
      <w:r>
        <w:t xml:space="preserve"> Положения о закупках товаров, работ, услуг ГАУ РК «ЦИТ» </w:t>
      </w:r>
      <w:r>
        <w:rPr>
          <w:b/>
        </w:rPr>
        <w:t xml:space="preserve">признать аукцион несостоявшимся.</w:t>
      </w:r>
      <w:r>
        <w:t xml:space="preserve"> Конкурентная закупка признана несостоявшейся в связи с тем, что на участие в закупке </w:t>
      </w:r>
      <w:r>
        <w:rPr>
          <w:b/>
        </w:rPr>
        <w:t xml:space="preserve">подана только</w:t>
      </w:r>
      <w:r>
        <w:t xml:space="preserve"> </w:t>
      </w:r>
      <w:r>
        <w:rPr>
          <w:b/>
        </w:rPr>
        <w:t xml:space="preserve">одна заявка</w:t>
      </w:r>
      <w:r>
        <w:t xml:space="preserve">.</w:t>
      </w:r>
      <w:r/>
    </w:p>
    <w:p>
      <w:pPr>
        <w:ind w:left="0" w:right="0" w:firstLine="567"/>
        <w:jc w:val="both"/>
      </w:pPr>
      <w:r>
        <w:t xml:space="preserve">В</w:t>
      </w:r>
      <w:r>
        <w:t xml:space="preserve"> соответствии с п. 1.13.6. Положения о закупках товаров, работ, услуг ГАУ РК «ЦИТ» договор заключается по НМЦ договора или по цене, согласованной с участником закупки и не превышающей НМЦ договора. При этом участник закупки признается победителем и не впра</w:t>
      </w:r>
      <w:r>
        <w:t xml:space="preserve">ве отказаться от заключения договора.</w:t>
      </w:r>
      <w:r/>
    </w:p>
    <w:p>
      <w:pPr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pPr>
        <w:jc w:val="both"/>
        <w:rPr>
          <w:highlight w:val="none"/>
        </w:rPr>
      </w:pPr>
      <w:r>
        <w:t xml:space="preserve">Результат голосования: «За» - единогласно. </w:t>
      </w:r>
      <w:r>
        <w:rPr>
          <w:highlight w:val="none"/>
        </w:rPr>
      </w:r>
      <w:r>
        <w:rPr>
          <w:highlight w:val="none"/>
        </w:rPr>
      </w:r>
    </w:p>
    <w:p>
      <w:r>
        <w:rPr>
          <w:b/>
        </w:rPr>
        <w:t xml:space="preserve">РЕШЕНИЕ принято единогласно.</w:t>
      </w:r>
      <w:r>
        <w:t xml:space="preserve"> </w:t>
      </w:r>
      <w:r/>
    </w:p>
    <w:p>
      <w:r/>
      <w:r/>
    </w:p>
    <w:p>
      <w:pPr>
        <w:jc w:val="both"/>
        <w:rPr>
          <w14:ligatures w14:val="none"/>
        </w:rPr>
      </w:pPr>
      <w:r>
        <w:t xml:space="preserve">При дистанционном участии в заседании комиссии подписание протокола членами комиссии осуществлено простой электронной подписью посредством системы электронного документооборота (ТЕЗИС, </w:t>
      </w:r>
      <w:r>
        <w:t xml:space="preserve">системный </w:t>
      </w:r>
      <w:r>
        <w:t xml:space="preserve">№</w:t>
      </w:r>
      <w:r>
        <w:t xml:space="preserve"> </w:t>
      </w:r>
      <w:r/>
      <w:r>
        <w:t xml:space="preserve">3391944</w:t>
      </w:r>
      <w:r/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jc w:val="both"/>
        <w:rPr>
          <w:iCs/>
        </w:rPr>
      </w:pPr>
      <w:r>
        <w:rPr>
          <w:iCs/>
        </w:rPr>
      </w:r>
      <w:r>
        <w:rPr>
          <w:iCs/>
        </w:rPr>
      </w:r>
      <w:r>
        <w:rPr>
          <w:iCs/>
        </w:rPr>
      </w:r>
    </w:p>
    <w:p>
      <w:pPr>
        <w:jc w:val="both"/>
        <w:rPr>
          <w:b/>
          <w:bCs/>
        </w:rPr>
      </w:pPr>
      <w:r>
        <w:rPr>
          <w:b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b/>
          <w:bCs/>
          <w:highlight w:val="none"/>
        </w:rPr>
      </w:pPr>
      <w:r>
        <w:rPr>
          <w:b/>
        </w:rPr>
        <w:t xml:space="preserve">Подписи членов комиссии: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jc w:val="both"/>
      </w:pPr>
      <w:r/>
      <w:r/>
    </w:p>
    <w:p>
      <w:pPr>
        <w:jc w:val="both"/>
      </w:pPr>
      <w:r>
        <w:t xml:space="preserve">Виноградова Людмила Владимировна</w:t>
      </w:r>
      <w:r>
        <w:t xml:space="preserve"> </w:t>
      </w:r>
      <w:r>
        <w:t xml:space="preserve">   </w:t>
      </w:r>
      <w:r>
        <w:t xml:space="preserve"> </w:t>
      </w:r>
      <w:r>
        <w:t xml:space="preserve"> ________________________________________________</w:t>
      </w:r>
      <w:r/>
    </w:p>
    <w:p>
      <w:pPr>
        <w:jc w:val="both"/>
      </w:pPr>
      <w:r/>
      <w:r/>
    </w:p>
    <w:p>
      <w:pPr>
        <w:jc w:val="both"/>
      </w:pPr>
      <w:r>
        <w:t xml:space="preserve">Попова Марина Владимировна</w:t>
      </w:r>
      <w:r>
        <w:t xml:space="preserve">                         ________________________________________________</w:t>
      </w:r>
      <w:r/>
    </w:p>
    <w:p>
      <w:pPr>
        <w:jc w:val="both"/>
      </w:pPr>
      <w:r/>
      <w:r/>
    </w:p>
    <w:p>
      <w:pPr>
        <w:jc w:val="both"/>
        <w:rPr>
          <w:sz w:val="23"/>
          <w:szCs w:val="23"/>
        </w:rPr>
      </w:pPr>
      <w:r>
        <w:rPr>
          <w:bCs/>
        </w:rPr>
        <w:t xml:space="preserve">Жилина Марина Николаевна</w:t>
      </w:r>
      <w:r>
        <w:t xml:space="preserve">                     </w:t>
      </w:r>
      <w:r>
        <w:t xml:space="preserve"> </w:t>
      </w:r>
      <w:r>
        <w:t xml:space="preserve">________________</w:t>
      </w:r>
      <w:r>
        <w:t xml:space="preserve">__________________</w:t>
      </w:r>
      <w:r>
        <w:t xml:space="preserve">______________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r/>
      <w:r/>
    </w:p>
    <w:sectPr>
      <w:footnotePr/>
      <w:endnotePr/>
      <w:type w:val="nextPage"/>
      <w:pgSz w:w="11906" w:h="16838" w:orient="portrait"/>
      <w:pgMar w:top="851" w:right="720" w:bottom="963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egoe UI">
    <w:panose1 w:val="020B0502040504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decimal"/>
      <w:isLgl/>
      <w:suff w:val="tab"/>
      <w:lvlText w:val="%1.%2."/>
      <w:lvlJc w:val="left"/>
      <w:pPr>
        <w:ind w:left="2558" w:hanging="1140"/>
      </w:pPr>
      <w:rPr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2122" w:hanging="1140"/>
      </w:pPr>
    </w:lvl>
    <w:lvl w:ilvl="3">
      <w:start w:val="1"/>
      <w:numFmt w:val="decimal"/>
      <w:isLgl/>
      <w:suff w:val="tab"/>
      <w:lvlText w:val="%1.%2.%3.%4."/>
      <w:lvlJc w:val="left"/>
      <w:pPr>
        <w:ind w:left="2471" w:hanging="1140"/>
      </w:pPr>
    </w:lvl>
    <w:lvl w:ilvl="4">
      <w:start w:val="1"/>
      <w:numFmt w:val="decimal"/>
      <w:isLgl/>
      <w:suff w:val="tab"/>
      <w:lvlText w:val="%1.%2.%3.%4.%5."/>
      <w:lvlJc w:val="left"/>
      <w:pPr>
        <w:ind w:left="2820" w:hanging="1140"/>
      </w:pPr>
    </w:lvl>
    <w:lvl w:ilvl="5">
      <w:start w:val="1"/>
      <w:numFmt w:val="decimal"/>
      <w:isLgl/>
      <w:suff w:val="tab"/>
      <w:lvlText w:val="%1.%2.%3.%4.%5.%6."/>
      <w:lvlJc w:val="left"/>
      <w:pPr>
        <w:ind w:left="3469" w:hanging="1440"/>
      </w:pPr>
    </w:lvl>
    <w:lvl w:ilvl="6">
      <w:start w:val="1"/>
      <w:numFmt w:val="decimal"/>
      <w:isLgl/>
      <w:suff w:val="tab"/>
      <w:lvlText w:val="%1.%2.%3.%4.%5.%6.%7."/>
      <w:lvlJc w:val="left"/>
      <w:pPr>
        <w:ind w:left="3818" w:hanging="1440"/>
      </w:pPr>
    </w:lvl>
    <w:lvl w:ilvl="7">
      <w:start w:val="1"/>
      <w:numFmt w:val="decimal"/>
      <w:isLgl/>
      <w:suff w:val="tab"/>
      <w:lvlText w:val="%1.%2.%3.%4.%5.%6.%7.%8."/>
      <w:lvlJc w:val="left"/>
      <w:pPr>
        <w:ind w:left="4527" w:hanging="1800"/>
      </w:pPr>
    </w:lvl>
    <w:lvl w:ilvl="8">
      <w:start w:val="1"/>
      <w:numFmt w:val="decimal"/>
      <w:isLgl/>
      <w:suff w:val="tab"/>
      <w:lvlText w:val="%1.%2.%3.%4.%5.%6.%7.%8.%9."/>
      <w:lvlJc w:val="left"/>
      <w:pPr>
        <w:ind w:left="4876" w:hanging="180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</w:pPr>
      <w:rPr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862" w:hanging="720"/>
      </w:pPr>
      <w:rPr>
        <w:rFonts w:hint="default" w:ascii="Times New Roman" w:hAnsi="Times New Roman" w:cs="Times New Roman"/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b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b/>
      </w:rPr>
    </w:lvl>
  </w:abstractNum>
  <w:abstractNum w:abstractNumId="3">
    <w:multiLevelType w:val="hybridMultilevel"/>
    <w:lvl w:ilvl="0">
      <w:start w:val="1"/>
      <w:numFmt w:val="decimal"/>
      <w:pStyle w:val="850"/>
      <w:isLgl/>
      <w:suff w:val="tab"/>
      <w:lvlText w:val="%1."/>
      <w:lvlJc w:val="left"/>
      <w:pPr>
        <w:ind w:left="720" w:hanging="720"/>
        <w:tabs>
          <w:tab w:val="num" w:pos="720" w:leader="none"/>
        </w:tabs>
      </w:pPr>
      <w:rPr>
        <w:rFonts w:hint="default" w:ascii="Times New Roman" w:hAnsi="Times New Roman" w:cs="Times New Roman"/>
        <w:b/>
        <w:i w:val="0"/>
        <w:caps/>
        <w:smallCaps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pStyle w:val="852"/>
      <w:isLgl w:val="false"/>
      <w:suff w:val="tab"/>
      <w:lvlText w:val="%1.%2"/>
      <w:lvlJc w:val="left"/>
      <w:pPr>
        <w:ind w:left="720" w:hanging="720"/>
        <w:tabs>
          <w:tab w:val="num" w:pos="720" w:leader="none"/>
        </w:tabs>
      </w:pPr>
      <w:rPr>
        <w:rFonts w:hint="default" w:ascii="Times New Roman" w:hAnsi="Times New Roman" w:cs="Times New Roman"/>
        <w:b w:val="0"/>
        <w:i w:val="0"/>
        <w:caps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pStyle w:val="853"/>
      <w:isLgl w:val="false"/>
      <w:suff w:val="tab"/>
      <w:lvlText w:val="%1.%2.%3"/>
      <w:lvlJc w:val="left"/>
      <w:pPr>
        <w:ind w:left="1800" w:hanging="1080"/>
        <w:tabs>
          <w:tab w:val="num" w:pos="1800" w:leader="none"/>
        </w:tabs>
      </w:pPr>
      <w:rPr>
        <w:rFonts w:hint="default" w:ascii="Times New Roman" w:hAnsi="Times New Roman" w:cs="Times New Roman"/>
        <w:b w:val="0"/>
        <w:i w:val="0"/>
        <w:caps w:val="0"/>
        <w:strike w:val="0"/>
        <w:color w:val="auto"/>
        <w:sz w:val="24"/>
        <w:szCs w:val="24"/>
        <w:u w:val="none"/>
      </w:rPr>
    </w:lvl>
    <w:lvl w:ilvl="3">
      <w:start w:val="1"/>
      <w:numFmt w:val="russianLower"/>
      <w:pStyle w:val="854"/>
      <w:isLgl w:val="false"/>
      <w:suff w:val="tab"/>
      <w:lvlText w:val="(%4)"/>
      <w:lvlJc w:val="left"/>
      <w:pPr>
        <w:ind w:left="2520" w:hanging="720"/>
        <w:tabs>
          <w:tab w:val="num" w:pos="2520" w:leader="none"/>
        </w:tabs>
      </w:pPr>
      <w:rPr>
        <w:rFonts w:hint="default" w:ascii="Times New Roman" w:hAnsi="Times New Roman" w:cs="Times New Roman"/>
        <w:b w:val="0"/>
        <w:i w:val="0"/>
        <w:caps w:val="0"/>
        <w:strike w:val="0"/>
        <w:color w:val="auto"/>
        <w:sz w:val="24"/>
        <w:szCs w:val="24"/>
        <w:u w:val="none"/>
      </w:rPr>
    </w:lvl>
    <w:lvl w:ilvl="4">
      <w:start w:val="1"/>
      <w:numFmt w:val="lowerRoman"/>
      <w:pStyle w:val="855"/>
      <w:isLgl w:val="false"/>
      <w:suff w:val="tab"/>
      <w:lvlText w:val="(%5)"/>
      <w:lvlJc w:val="left"/>
      <w:pPr>
        <w:ind w:left="3240" w:hanging="720"/>
        <w:tabs>
          <w:tab w:val="num" w:pos="3240" w:leader="none"/>
        </w:tabs>
      </w:pPr>
      <w:rPr>
        <w:rFonts w:hint="default" w:ascii="Arial" w:hAnsi="Arial" w:cs="Arial"/>
        <w:b w:val="0"/>
        <w:i w:val="0"/>
        <w:caps w:val="0"/>
        <w:strike w:val="0"/>
        <w:color w:val="auto"/>
        <w:sz w:val="22"/>
        <w:u w:val="none"/>
      </w:rPr>
    </w:lvl>
    <w:lvl w:ilvl="5">
      <w:start w:val="1"/>
      <w:numFmt w:val="decimal"/>
      <w:pStyle w:val="856"/>
      <w:isLgl w:val="false"/>
      <w:suff w:val="tab"/>
      <w:lvlText w:val="(%6)"/>
      <w:lvlJc w:val="left"/>
      <w:pPr>
        <w:ind w:left="3960" w:hanging="720"/>
        <w:tabs>
          <w:tab w:val="num" w:pos="3960" w:leader="none"/>
        </w:tabs>
      </w:pPr>
      <w:rPr>
        <w:rFonts w:hint="default" w:ascii="Arial" w:hAnsi="Arial" w:cs="Arial"/>
        <w:b w:val="0"/>
        <w:i w:val="0"/>
        <w:caps w:val="0"/>
        <w:strike w:val="0"/>
        <w:color w:val="auto"/>
        <w:sz w:val="22"/>
        <w:u w:val="none"/>
      </w:rPr>
    </w:lvl>
    <w:lvl w:ilvl="6">
      <w:start w:val="1"/>
      <w:numFmt w:val="bullet"/>
      <w:lvlRestart w:val="0"/>
      <w:pStyle w:val="857"/>
      <w:isLgl w:val="false"/>
      <w:suff w:val="tab"/>
      <w:lvlText w:val="·"/>
      <w:lvlJc w:val="left"/>
      <w:pPr>
        <w:ind w:left="720" w:hanging="720"/>
        <w:tabs>
          <w:tab w:val="num" w:pos="720" w:leader="none"/>
        </w:tabs>
      </w:pPr>
      <w:rPr>
        <w:rFonts w:hint="default" w:ascii="Symbol" w:hAnsi="Symbol"/>
        <w:b w:val="0"/>
        <w:i w:val="0"/>
        <w:caps w:val="0"/>
        <w:strike w:val="0"/>
        <w:color w:val="auto"/>
        <w:sz w:val="22"/>
        <w:u w:val="none"/>
      </w:rPr>
    </w:lvl>
    <w:lvl w:ilvl="7">
      <w:start w:val="1"/>
      <w:numFmt w:val="bullet"/>
      <w:lvlRestart w:val="0"/>
      <w:pStyle w:val="858"/>
      <w:isLgl w:val="false"/>
      <w:suff w:val="tab"/>
      <w:lvlText w:val="·"/>
      <w:lvlJc w:val="left"/>
      <w:pPr>
        <w:ind w:left="1800" w:hanging="1080"/>
        <w:tabs>
          <w:tab w:val="num" w:pos="1440" w:leader="none"/>
        </w:tabs>
      </w:pPr>
      <w:rPr>
        <w:rFonts w:hint="default" w:ascii="Symbol" w:hAnsi="Symbol"/>
        <w:b w:val="0"/>
        <w:i w:val="0"/>
        <w:caps w:val="0"/>
        <w:strike w:val="0"/>
        <w:color w:val="auto"/>
        <w:sz w:val="22"/>
        <w:u w:val="none"/>
      </w:rPr>
    </w:lvl>
    <w:lvl w:ilvl="8">
      <w:start w:val="1"/>
      <w:numFmt w:val="bullet"/>
      <w:lvlRestart w:val="0"/>
      <w:pStyle w:val="859"/>
      <w:isLgl w:val="false"/>
      <w:suff w:val="tab"/>
      <w:lvlText w:val="·"/>
      <w:lvlJc w:val="left"/>
      <w:pPr>
        <w:ind w:left="2520" w:hanging="720"/>
        <w:tabs>
          <w:tab w:val="num" w:pos="2520" w:leader="none"/>
        </w:tabs>
      </w:pPr>
      <w:rPr>
        <w:rFonts w:hint="default" w:ascii="Symbol" w:hAnsi="Symbol"/>
        <w:b w:val="0"/>
        <w:i w:val="0"/>
        <w:caps w:val="0"/>
        <w:strike w:val="0"/>
        <w:color w:val="auto"/>
        <w:sz w:val="22"/>
        <w:u w:val="none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decimal"/>
      <w:isLgl/>
      <w:suff w:val="tab"/>
      <w:lvlText w:val="%1.%2."/>
      <w:lvlJc w:val="left"/>
      <w:pPr>
        <w:ind w:left="3976" w:hanging="1140"/>
      </w:pPr>
      <w:rPr>
        <w:color w:val="auto"/>
      </w:rPr>
    </w:lvl>
    <w:lvl w:ilvl="2">
      <w:start w:val="1"/>
      <w:numFmt w:val="decimal"/>
      <w:isLgl/>
      <w:suff w:val="tab"/>
      <w:lvlText w:val="%1.%2.%3."/>
      <w:lvlJc w:val="left"/>
      <w:pPr>
        <w:ind w:left="2122" w:hanging="1140"/>
      </w:pPr>
      <w:rPr>
        <w:sz w:val="24"/>
        <w:szCs w:val="24"/>
      </w:rPr>
    </w:lvl>
    <w:lvl w:ilvl="3">
      <w:start w:val="1"/>
      <w:numFmt w:val="decimal"/>
      <w:isLgl/>
      <w:suff w:val="tab"/>
      <w:lvlText w:val="%1.%2.%3.%4."/>
      <w:lvlJc w:val="left"/>
      <w:pPr>
        <w:ind w:left="2471" w:hanging="1140"/>
      </w:pPr>
    </w:lvl>
    <w:lvl w:ilvl="4">
      <w:start w:val="1"/>
      <w:numFmt w:val="decimal"/>
      <w:isLgl/>
      <w:suff w:val="tab"/>
      <w:lvlText w:val="%1.%2.%3.%4.%5."/>
      <w:lvlJc w:val="left"/>
      <w:pPr>
        <w:ind w:left="2820" w:hanging="1140"/>
      </w:pPr>
    </w:lvl>
    <w:lvl w:ilvl="5">
      <w:start w:val="1"/>
      <w:numFmt w:val="decimal"/>
      <w:isLgl/>
      <w:suff w:val="tab"/>
      <w:lvlText w:val="%1.%2.%3.%4.%5.%6."/>
      <w:lvlJc w:val="left"/>
      <w:pPr>
        <w:ind w:left="3469" w:hanging="1440"/>
      </w:pPr>
    </w:lvl>
    <w:lvl w:ilvl="6">
      <w:start w:val="1"/>
      <w:numFmt w:val="decimal"/>
      <w:isLgl/>
      <w:suff w:val="tab"/>
      <w:lvlText w:val="%1.%2.%3.%4.%5.%6.%7."/>
      <w:lvlJc w:val="left"/>
      <w:pPr>
        <w:ind w:left="3818" w:hanging="1440"/>
      </w:pPr>
    </w:lvl>
    <w:lvl w:ilvl="7">
      <w:start w:val="1"/>
      <w:numFmt w:val="decimal"/>
      <w:isLgl/>
      <w:suff w:val="tab"/>
      <w:lvlText w:val="%1.%2.%3.%4.%5.%6.%7.%8."/>
      <w:lvlJc w:val="left"/>
      <w:pPr>
        <w:ind w:left="4527" w:hanging="1800"/>
      </w:pPr>
    </w:lvl>
    <w:lvl w:ilvl="8">
      <w:start w:val="1"/>
      <w:numFmt w:val="decimal"/>
      <w:isLgl/>
      <w:suff w:val="tab"/>
      <w:lvlText w:val="%1.%2.%3.%4.%5.%6.%7.%8.%9."/>
      <w:lvlJc w:val="left"/>
      <w:pPr>
        <w:ind w:left="4876" w:hanging="180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4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4">
    <w:name w:val="Heading 1"/>
    <w:basedOn w:val="839"/>
    <w:next w:val="839"/>
    <w:link w:val="66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5">
    <w:name w:val="Heading 1 Char"/>
    <w:basedOn w:val="840"/>
    <w:link w:val="664"/>
    <w:uiPriority w:val="9"/>
    <w:rPr>
      <w:rFonts w:ascii="Arial" w:hAnsi="Arial" w:eastAsia="Arial" w:cs="Arial"/>
      <w:sz w:val="40"/>
      <w:szCs w:val="40"/>
    </w:rPr>
  </w:style>
  <w:style w:type="paragraph" w:styleId="666">
    <w:name w:val="Heading 2"/>
    <w:basedOn w:val="839"/>
    <w:next w:val="839"/>
    <w:link w:val="66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7">
    <w:name w:val="Heading 2 Char"/>
    <w:basedOn w:val="840"/>
    <w:link w:val="666"/>
    <w:uiPriority w:val="9"/>
    <w:rPr>
      <w:rFonts w:ascii="Arial" w:hAnsi="Arial" w:eastAsia="Arial" w:cs="Arial"/>
      <w:sz w:val="34"/>
    </w:rPr>
  </w:style>
  <w:style w:type="paragraph" w:styleId="668">
    <w:name w:val="Heading 3"/>
    <w:basedOn w:val="839"/>
    <w:next w:val="839"/>
    <w:link w:val="66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9">
    <w:name w:val="Heading 3 Char"/>
    <w:basedOn w:val="840"/>
    <w:link w:val="668"/>
    <w:uiPriority w:val="9"/>
    <w:rPr>
      <w:rFonts w:ascii="Arial" w:hAnsi="Arial" w:eastAsia="Arial" w:cs="Arial"/>
      <w:sz w:val="30"/>
      <w:szCs w:val="30"/>
    </w:rPr>
  </w:style>
  <w:style w:type="paragraph" w:styleId="670">
    <w:name w:val="Heading 4"/>
    <w:basedOn w:val="839"/>
    <w:next w:val="839"/>
    <w:link w:val="67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1">
    <w:name w:val="Heading 4 Char"/>
    <w:basedOn w:val="840"/>
    <w:link w:val="670"/>
    <w:uiPriority w:val="9"/>
    <w:rPr>
      <w:rFonts w:ascii="Arial" w:hAnsi="Arial" w:eastAsia="Arial" w:cs="Arial"/>
      <w:b/>
      <w:bCs/>
      <w:sz w:val="26"/>
      <w:szCs w:val="26"/>
    </w:rPr>
  </w:style>
  <w:style w:type="paragraph" w:styleId="672">
    <w:name w:val="Heading 5"/>
    <w:basedOn w:val="839"/>
    <w:next w:val="839"/>
    <w:link w:val="67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3">
    <w:name w:val="Heading 5 Char"/>
    <w:basedOn w:val="840"/>
    <w:link w:val="672"/>
    <w:uiPriority w:val="9"/>
    <w:rPr>
      <w:rFonts w:ascii="Arial" w:hAnsi="Arial" w:eastAsia="Arial" w:cs="Arial"/>
      <w:b/>
      <w:bCs/>
      <w:sz w:val="24"/>
      <w:szCs w:val="24"/>
    </w:rPr>
  </w:style>
  <w:style w:type="paragraph" w:styleId="674">
    <w:name w:val="Heading 6"/>
    <w:basedOn w:val="839"/>
    <w:next w:val="839"/>
    <w:link w:val="67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5">
    <w:name w:val="Heading 6 Char"/>
    <w:basedOn w:val="840"/>
    <w:link w:val="674"/>
    <w:uiPriority w:val="9"/>
    <w:rPr>
      <w:rFonts w:ascii="Arial" w:hAnsi="Arial" w:eastAsia="Arial" w:cs="Arial"/>
      <w:b/>
      <w:bCs/>
      <w:sz w:val="22"/>
      <w:szCs w:val="22"/>
    </w:rPr>
  </w:style>
  <w:style w:type="paragraph" w:styleId="676">
    <w:name w:val="Heading 7"/>
    <w:basedOn w:val="839"/>
    <w:next w:val="839"/>
    <w:link w:val="67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7">
    <w:name w:val="Heading 7 Char"/>
    <w:basedOn w:val="840"/>
    <w:link w:val="67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8">
    <w:name w:val="Heading 8"/>
    <w:basedOn w:val="839"/>
    <w:next w:val="839"/>
    <w:link w:val="67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9">
    <w:name w:val="Heading 8 Char"/>
    <w:basedOn w:val="840"/>
    <w:link w:val="678"/>
    <w:uiPriority w:val="9"/>
    <w:rPr>
      <w:rFonts w:ascii="Arial" w:hAnsi="Arial" w:eastAsia="Arial" w:cs="Arial"/>
      <w:i/>
      <w:iCs/>
      <w:sz w:val="22"/>
      <w:szCs w:val="22"/>
    </w:rPr>
  </w:style>
  <w:style w:type="paragraph" w:styleId="680">
    <w:name w:val="Heading 9"/>
    <w:basedOn w:val="839"/>
    <w:next w:val="839"/>
    <w:link w:val="68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1">
    <w:name w:val="Heading 9 Char"/>
    <w:basedOn w:val="840"/>
    <w:link w:val="680"/>
    <w:uiPriority w:val="9"/>
    <w:rPr>
      <w:rFonts w:ascii="Arial" w:hAnsi="Arial" w:eastAsia="Arial" w:cs="Arial"/>
      <w:i/>
      <w:iCs/>
      <w:sz w:val="21"/>
      <w:szCs w:val="21"/>
    </w:rPr>
  </w:style>
  <w:style w:type="paragraph" w:styleId="682">
    <w:name w:val="No Spacing"/>
    <w:uiPriority w:val="1"/>
    <w:qFormat/>
    <w:pPr>
      <w:spacing w:before="0" w:after="0" w:line="240" w:lineRule="auto"/>
    </w:pPr>
  </w:style>
  <w:style w:type="paragraph" w:styleId="683">
    <w:name w:val="Title"/>
    <w:basedOn w:val="839"/>
    <w:next w:val="839"/>
    <w:link w:val="68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4">
    <w:name w:val="Title Char"/>
    <w:basedOn w:val="840"/>
    <w:link w:val="683"/>
    <w:uiPriority w:val="10"/>
    <w:rPr>
      <w:sz w:val="48"/>
      <w:szCs w:val="48"/>
    </w:rPr>
  </w:style>
  <w:style w:type="paragraph" w:styleId="685">
    <w:name w:val="Subtitle"/>
    <w:basedOn w:val="839"/>
    <w:next w:val="839"/>
    <w:link w:val="686"/>
    <w:uiPriority w:val="11"/>
    <w:qFormat/>
    <w:pPr>
      <w:spacing w:before="200" w:after="200"/>
    </w:pPr>
    <w:rPr>
      <w:sz w:val="24"/>
      <w:szCs w:val="24"/>
    </w:rPr>
  </w:style>
  <w:style w:type="character" w:styleId="686">
    <w:name w:val="Subtitle Char"/>
    <w:basedOn w:val="840"/>
    <w:link w:val="685"/>
    <w:uiPriority w:val="11"/>
    <w:rPr>
      <w:sz w:val="24"/>
      <w:szCs w:val="24"/>
    </w:rPr>
  </w:style>
  <w:style w:type="paragraph" w:styleId="687">
    <w:name w:val="Quote"/>
    <w:basedOn w:val="839"/>
    <w:next w:val="839"/>
    <w:link w:val="688"/>
    <w:uiPriority w:val="29"/>
    <w:qFormat/>
    <w:pPr>
      <w:ind w:left="720" w:right="720"/>
    </w:pPr>
    <w:rPr>
      <w:i/>
    </w:rPr>
  </w:style>
  <w:style w:type="character" w:styleId="688">
    <w:name w:val="Quote Char"/>
    <w:link w:val="687"/>
    <w:uiPriority w:val="29"/>
    <w:rPr>
      <w:i/>
    </w:rPr>
  </w:style>
  <w:style w:type="paragraph" w:styleId="689">
    <w:name w:val="Intense Quote"/>
    <w:basedOn w:val="839"/>
    <w:next w:val="839"/>
    <w:link w:val="69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0">
    <w:name w:val="Intense Quote Char"/>
    <w:link w:val="689"/>
    <w:uiPriority w:val="30"/>
    <w:rPr>
      <w:i/>
    </w:rPr>
  </w:style>
  <w:style w:type="paragraph" w:styleId="691">
    <w:name w:val="Header"/>
    <w:basedOn w:val="839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Header Char"/>
    <w:basedOn w:val="840"/>
    <w:link w:val="691"/>
    <w:uiPriority w:val="99"/>
  </w:style>
  <w:style w:type="paragraph" w:styleId="693">
    <w:name w:val="Footer"/>
    <w:basedOn w:val="839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>
    <w:name w:val="Footer Char"/>
    <w:basedOn w:val="840"/>
    <w:link w:val="693"/>
    <w:uiPriority w:val="99"/>
  </w:style>
  <w:style w:type="paragraph" w:styleId="695">
    <w:name w:val="Caption"/>
    <w:basedOn w:val="839"/>
    <w:next w:val="839"/>
    <w:link w:val="69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6">
    <w:name w:val="Caption Char"/>
    <w:basedOn w:val="695"/>
    <w:link w:val="693"/>
    <w:uiPriority w:val="99"/>
  </w:style>
  <w:style w:type="table" w:styleId="697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1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3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5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6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7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8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9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0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1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8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9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0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1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2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3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0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1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2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3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4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5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6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9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1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3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4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5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6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7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8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9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0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1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3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4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5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6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7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8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0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1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2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3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4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5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6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7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8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9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0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1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2">
    <w:name w:val="footnote text"/>
    <w:basedOn w:val="839"/>
    <w:link w:val="823"/>
    <w:uiPriority w:val="99"/>
    <w:semiHidden/>
    <w:unhideWhenUsed/>
    <w:pPr>
      <w:spacing w:after="40" w:line="240" w:lineRule="auto"/>
    </w:pPr>
    <w:rPr>
      <w:sz w:val="18"/>
    </w:rPr>
  </w:style>
  <w:style w:type="character" w:styleId="823">
    <w:name w:val="Footnote Text Char"/>
    <w:link w:val="822"/>
    <w:uiPriority w:val="99"/>
    <w:rPr>
      <w:sz w:val="18"/>
    </w:rPr>
  </w:style>
  <w:style w:type="character" w:styleId="824">
    <w:name w:val="footnote reference"/>
    <w:basedOn w:val="840"/>
    <w:uiPriority w:val="99"/>
    <w:unhideWhenUsed/>
    <w:rPr>
      <w:vertAlign w:val="superscript"/>
    </w:rPr>
  </w:style>
  <w:style w:type="paragraph" w:styleId="825">
    <w:name w:val="endnote text"/>
    <w:basedOn w:val="839"/>
    <w:link w:val="826"/>
    <w:uiPriority w:val="99"/>
    <w:semiHidden/>
    <w:unhideWhenUsed/>
    <w:pPr>
      <w:spacing w:after="0" w:line="240" w:lineRule="auto"/>
    </w:pPr>
    <w:rPr>
      <w:sz w:val="20"/>
    </w:rPr>
  </w:style>
  <w:style w:type="character" w:styleId="826">
    <w:name w:val="Endnote Text Char"/>
    <w:link w:val="825"/>
    <w:uiPriority w:val="99"/>
    <w:rPr>
      <w:sz w:val="20"/>
    </w:rPr>
  </w:style>
  <w:style w:type="character" w:styleId="827">
    <w:name w:val="endnote reference"/>
    <w:basedOn w:val="840"/>
    <w:uiPriority w:val="99"/>
    <w:semiHidden/>
    <w:unhideWhenUsed/>
    <w:rPr>
      <w:vertAlign w:val="superscript"/>
    </w:rPr>
  </w:style>
  <w:style w:type="paragraph" w:styleId="828">
    <w:name w:val="toc 1"/>
    <w:basedOn w:val="839"/>
    <w:next w:val="839"/>
    <w:uiPriority w:val="39"/>
    <w:unhideWhenUsed/>
    <w:pPr>
      <w:ind w:left="0" w:right="0" w:firstLine="0"/>
      <w:spacing w:after="57"/>
    </w:pPr>
  </w:style>
  <w:style w:type="paragraph" w:styleId="829">
    <w:name w:val="toc 2"/>
    <w:basedOn w:val="839"/>
    <w:next w:val="839"/>
    <w:uiPriority w:val="39"/>
    <w:unhideWhenUsed/>
    <w:pPr>
      <w:ind w:left="283" w:right="0" w:firstLine="0"/>
      <w:spacing w:after="57"/>
    </w:pPr>
  </w:style>
  <w:style w:type="paragraph" w:styleId="830">
    <w:name w:val="toc 3"/>
    <w:basedOn w:val="839"/>
    <w:next w:val="839"/>
    <w:uiPriority w:val="39"/>
    <w:unhideWhenUsed/>
    <w:pPr>
      <w:ind w:left="567" w:right="0" w:firstLine="0"/>
      <w:spacing w:after="57"/>
    </w:pPr>
  </w:style>
  <w:style w:type="paragraph" w:styleId="831">
    <w:name w:val="toc 4"/>
    <w:basedOn w:val="839"/>
    <w:next w:val="839"/>
    <w:uiPriority w:val="39"/>
    <w:unhideWhenUsed/>
    <w:pPr>
      <w:ind w:left="850" w:right="0" w:firstLine="0"/>
      <w:spacing w:after="57"/>
    </w:pPr>
  </w:style>
  <w:style w:type="paragraph" w:styleId="832">
    <w:name w:val="toc 5"/>
    <w:basedOn w:val="839"/>
    <w:next w:val="839"/>
    <w:uiPriority w:val="39"/>
    <w:unhideWhenUsed/>
    <w:pPr>
      <w:ind w:left="1134" w:right="0" w:firstLine="0"/>
      <w:spacing w:after="57"/>
    </w:pPr>
  </w:style>
  <w:style w:type="paragraph" w:styleId="833">
    <w:name w:val="toc 6"/>
    <w:basedOn w:val="839"/>
    <w:next w:val="839"/>
    <w:uiPriority w:val="39"/>
    <w:unhideWhenUsed/>
    <w:pPr>
      <w:ind w:left="1417" w:right="0" w:firstLine="0"/>
      <w:spacing w:after="57"/>
    </w:pPr>
  </w:style>
  <w:style w:type="paragraph" w:styleId="834">
    <w:name w:val="toc 7"/>
    <w:basedOn w:val="839"/>
    <w:next w:val="839"/>
    <w:uiPriority w:val="39"/>
    <w:unhideWhenUsed/>
    <w:pPr>
      <w:ind w:left="1701" w:right="0" w:firstLine="0"/>
      <w:spacing w:after="57"/>
    </w:pPr>
  </w:style>
  <w:style w:type="paragraph" w:styleId="835">
    <w:name w:val="toc 8"/>
    <w:basedOn w:val="839"/>
    <w:next w:val="839"/>
    <w:uiPriority w:val="39"/>
    <w:unhideWhenUsed/>
    <w:pPr>
      <w:ind w:left="1984" w:right="0" w:firstLine="0"/>
      <w:spacing w:after="57"/>
    </w:pPr>
  </w:style>
  <w:style w:type="paragraph" w:styleId="836">
    <w:name w:val="toc 9"/>
    <w:basedOn w:val="839"/>
    <w:next w:val="839"/>
    <w:uiPriority w:val="39"/>
    <w:unhideWhenUsed/>
    <w:pPr>
      <w:ind w:left="2268" w:right="0" w:firstLine="0"/>
      <w:spacing w:after="57"/>
    </w:pPr>
  </w:style>
  <w:style w:type="paragraph" w:styleId="837">
    <w:name w:val="TOC Heading"/>
    <w:uiPriority w:val="39"/>
    <w:unhideWhenUsed/>
  </w:style>
  <w:style w:type="paragraph" w:styleId="838">
    <w:name w:val="table of figures"/>
    <w:basedOn w:val="839"/>
    <w:next w:val="839"/>
    <w:uiPriority w:val="99"/>
    <w:unhideWhenUsed/>
    <w:pPr>
      <w:spacing w:after="0" w:afterAutospacing="0"/>
    </w:pPr>
  </w:style>
  <w:style w:type="paragraph" w:styleId="839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40" w:default="1">
    <w:name w:val="Default Paragraph Font"/>
    <w:uiPriority w:val="1"/>
    <w:semiHidden/>
    <w:unhideWhenUsed/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character" w:styleId="843">
    <w:name w:val="Hyperlink"/>
    <w:basedOn w:val="840"/>
    <w:rPr>
      <w:color w:val="0000ff"/>
      <w:u w:val="single"/>
    </w:rPr>
  </w:style>
  <w:style w:type="paragraph" w:styleId="844">
    <w:name w:val="List Paragraph"/>
    <w:basedOn w:val="839"/>
    <w:uiPriority w:val="34"/>
    <w:qFormat/>
    <w:pPr>
      <w:contextualSpacing/>
      <w:ind w:left="720"/>
      <w:spacing w:after="200" w:line="276" w:lineRule="auto"/>
    </w:pPr>
    <w:rPr>
      <w:rFonts w:ascii="Calibri" w:hAnsi="Calibri"/>
      <w:sz w:val="22"/>
      <w:szCs w:val="22"/>
    </w:rPr>
  </w:style>
  <w:style w:type="paragraph" w:styleId="845">
    <w:name w:val="Normal (Web)"/>
    <w:basedOn w:val="839"/>
    <w:uiPriority w:val="99"/>
    <w:unhideWhenUsed/>
    <w:pPr>
      <w:spacing w:before="100" w:beforeAutospacing="1" w:after="100" w:afterAutospacing="1"/>
    </w:pPr>
  </w:style>
  <w:style w:type="paragraph" w:styleId="846">
    <w:name w:val="Balloon Text"/>
    <w:basedOn w:val="839"/>
    <w:link w:val="847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847" w:customStyle="1">
    <w:name w:val="Текст выноски Знак"/>
    <w:basedOn w:val="840"/>
    <w:link w:val="846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table" w:styleId="848">
    <w:name w:val="Table Grid"/>
    <w:basedOn w:val="84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49" w:customStyle="1">
    <w:name w:val="block-tbl"/>
    <w:basedOn w:val="84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/>
  </w:style>
  <w:style w:type="paragraph" w:styleId="850" w:customStyle="1">
    <w:name w:val="EuroCorp1_L1"/>
    <w:basedOn w:val="839"/>
    <w:pPr>
      <w:numPr>
        <w:ilvl w:val="0"/>
        <w:numId w:val="3"/>
      </w:numPr>
      <w:jc w:val="both"/>
      <w:keepNext/>
      <w:spacing w:after="240"/>
      <w:outlineLvl w:val="0"/>
    </w:pPr>
    <w:rPr>
      <w:rFonts w:ascii="Arial" w:hAnsi="Arial"/>
      <w:b/>
      <w:caps/>
      <w:sz w:val="22"/>
      <w:szCs w:val="20"/>
    </w:rPr>
  </w:style>
  <w:style w:type="character" w:styleId="851" w:customStyle="1">
    <w:name w:val="EuroCorp1_L2 Char"/>
    <w:link w:val="852"/>
    <w:rPr>
      <w:rFonts w:ascii="Arial" w:hAnsi="Arial" w:eastAsia="Times New Roman" w:cs="Arial"/>
    </w:rPr>
  </w:style>
  <w:style w:type="paragraph" w:styleId="852" w:customStyle="1">
    <w:name w:val="EuroCorp1_L2"/>
    <w:basedOn w:val="850"/>
    <w:link w:val="851"/>
    <w:pPr>
      <w:numPr>
        <w:ilvl w:val="1"/>
      </w:numPr>
      <w:keepNext w:val="0"/>
      <w:outlineLvl w:val="1"/>
    </w:pPr>
    <w:rPr>
      <w:rFonts w:cs="Arial"/>
      <w:b w:val="0"/>
      <w:caps w:val="0"/>
      <w:szCs w:val="22"/>
    </w:rPr>
  </w:style>
  <w:style w:type="paragraph" w:styleId="853" w:customStyle="1">
    <w:name w:val="EuroCorp1_L3"/>
    <w:basedOn w:val="852"/>
    <w:pPr>
      <w:numPr>
        <w:ilvl w:val="2"/>
      </w:numPr>
      <w:ind w:left="2122" w:hanging="1140"/>
      <w:tabs>
        <w:tab w:val="num" w:pos="360" w:leader="none"/>
        <w:tab w:val="clear" w:pos="1800" w:leader="none"/>
      </w:tabs>
      <w:outlineLvl w:val="2"/>
    </w:pPr>
    <w:rPr>
      <w:lang w:val="ru-RU"/>
    </w:rPr>
  </w:style>
  <w:style w:type="paragraph" w:styleId="854" w:customStyle="1">
    <w:name w:val="EuroCorp1_L4"/>
    <w:basedOn w:val="853"/>
    <w:pPr>
      <w:numPr>
        <w:ilvl w:val="3"/>
      </w:numPr>
      <w:ind w:left="2471" w:hanging="1140"/>
      <w:tabs>
        <w:tab w:val="num" w:pos="360" w:leader="none"/>
        <w:tab w:val="clear" w:pos="2520" w:leader="none"/>
      </w:tabs>
      <w:outlineLvl w:val="3"/>
    </w:pPr>
  </w:style>
  <w:style w:type="paragraph" w:styleId="855" w:customStyle="1">
    <w:name w:val="EuroCorp1_L5"/>
    <w:basedOn w:val="854"/>
    <w:pPr>
      <w:numPr>
        <w:ilvl w:val="4"/>
      </w:numPr>
      <w:ind w:left="2820" w:hanging="1140"/>
      <w:tabs>
        <w:tab w:val="num" w:pos="360" w:leader="none"/>
        <w:tab w:val="clear" w:pos="3240" w:leader="none"/>
      </w:tabs>
      <w:outlineLvl w:val="4"/>
    </w:pPr>
  </w:style>
  <w:style w:type="paragraph" w:styleId="856" w:customStyle="1">
    <w:name w:val="EuroCorp1_L6"/>
    <w:basedOn w:val="855"/>
    <w:pPr>
      <w:numPr>
        <w:ilvl w:val="5"/>
      </w:numPr>
      <w:ind w:left="3469" w:right="720" w:hanging="1440"/>
      <w:tabs>
        <w:tab w:val="num" w:pos="360" w:leader="none"/>
        <w:tab w:val="clear" w:pos="3960" w:leader="none"/>
      </w:tabs>
      <w:outlineLvl w:val="5"/>
    </w:pPr>
  </w:style>
  <w:style w:type="paragraph" w:styleId="857" w:customStyle="1">
    <w:name w:val="EuroCorp1_L7"/>
    <w:basedOn w:val="856"/>
    <w:pPr>
      <w:numPr>
        <w:ilvl w:val="6"/>
      </w:numPr>
      <w:ind w:left="3818" w:hanging="1440"/>
      <w:tabs>
        <w:tab w:val="num" w:pos="360" w:leader="none"/>
        <w:tab w:val="clear" w:pos="720" w:leader="none"/>
      </w:tabs>
      <w:outlineLvl w:val="6"/>
    </w:pPr>
  </w:style>
  <w:style w:type="paragraph" w:styleId="858" w:customStyle="1">
    <w:name w:val="EuroCorp1_L8"/>
    <w:basedOn w:val="857"/>
    <w:pPr>
      <w:numPr>
        <w:ilvl w:val="7"/>
      </w:numPr>
      <w:ind w:left="4527" w:hanging="1800"/>
      <w:tabs>
        <w:tab w:val="num" w:pos="360" w:leader="none"/>
        <w:tab w:val="clear" w:pos="1440" w:leader="none"/>
      </w:tabs>
      <w:outlineLvl w:val="7"/>
    </w:pPr>
  </w:style>
  <w:style w:type="paragraph" w:styleId="859" w:customStyle="1">
    <w:name w:val="EuroCorp1_L9"/>
    <w:basedOn w:val="858"/>
    <w:pPr>
      <w:numPr>
        <w:ilvl w:val="8"/>
      </w:numPr>
      <w:ind w:left="4876" w:hanging="1800"/>
      <w:tabs>
        <w:tab w:val="num" w:pos="360" w:leader="none"/>
        <w:tab w:val="clear" w:pos="2520" w:leader="none"/>
      </w:tabs>
      <w:outlineLvl w:val="8"/>
    </w:pPr>
  </w:style>
  <w:style w:type="table" w:styleId="860" w:customStyle="1">
    <w:name w:val="block-tbl 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Arteeva-ON</dc:creator>
  <cp:lastModifiedBy>zmn001</cp:lastModifiedBy>
  <cp:revision>27</cp:revision>
  <dcterms:created xsi:type="dcterms:W3CDTF">2023-06-14T09:33:00Z</dcterms:created>
  <dcterms:modified xsi:type="dcterms:W3CDTF">2025-12-12T12:55:31Z</dcterms:modified>
</cp:coreProperties>
</file>