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 w:val="0"/>
        <w:ind w:right="4" w:firstLine="0"/>
        <w:jc w:val="center"/>
        <w:spacing w:before="0" w:after="0" w:line="240" w:lineRule="auto"/>
        <w:rPr>
          <w:rFonts w:ascii="Times New Roman" w:hAnsi="Times New Roman"/>
          <w:b/>
          <w:sz w:val="24"/>
          <w:szCs w:val="24"/>
          <w:lang w:eastAsia="ru-RU"/>
        </w:rPr>
        <w:suppressLineNumbers w:val="0"/>
      </w:pPr>
      <w:r>
        <w:rPr>
          <w:rFonts w:ascii="Times New Roman" w:hAnsi="Times New Roman"/>
          <w:b/>
          <w:sz w:val="24"/>
          <w:szCs w:val="24"/>
          <w:lang w:eastAsia="ru-RU"/>
        </w:rPr>
        <w:t xml:space="preserve">ПРОТОКОЛ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от «15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» декабря</w:t>
      </w:r>
      <w:r>
        <w:rPr>
          <w:rFonts w:ascii="Times New Roman" w:hAnsi="Times New Roman"/>
          <w:b/>
          <w:bCs/>
          <w:iCs/>
          <w:sz w:val="24"/>
          <w:szCs w:val="24"/>
          <w:lang w:eastAsia="ru-RU"/>
        </w:rPr>
        <w:t xml:space="preserve"> 202</w:t>
      </w:r>
      <w:r>
        <w:rPr>
          <w:rFonts w:ascii="Times New Roman" w:hAnsi="Times New Roman"/>
          <w:b/>
          <w:bCs/>
          <w:iCs/>
          <w:sz w:val="24"/>
          <w:szCs w:val="24"/>
          <w:lang w:eastAsia="ru-RU"/>
        </w:rPr>
        <w:t xml:space="preserve">5</w:t>
      </w:r>
      <w:r>
        <w:rPr>
          <w:rFonts w:ascii="Times New Roman" w:hAnsi="Times New Roman"/>
          <w:b/>
          <w:bCs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№ 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ПРЗК/202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5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/М3/ЗК/967</w:t>
      </w:r>
      <w:r>
        <w:rPr>
          <w:rFonts w:ascii="Times New Roman" w:hAnsi="Times New Roman"/>
          <w:b/>
          <w:sz w:val="24"/>
          <w:szCs w:val="24"/>
          <w:lang w:eastAsia="ru-RU"/>
        </w:rPr>
      </w:r>
      <w:r>
        <w:rPr>
          <w:rFonts w:ascii="Times New Roman" w:hAnsi="Times New Roman"/>
          <w:b/>
          <w:sz w:val="24"/>
          <w:szCs w:val="24"/>
          <w:lang w:eastAsia="ru-RU"/>
        </w:rPr>
      </w:r>
    </w:p>
    <w:p>
      <w:pPr>
        <w:ind w:right="4" w:firstLine="0"/>
        <w:jc w:val="center"/>
        <w:spacing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 xml:space="preserve">по 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рассмотрению заяв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ки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 Участник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а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 и 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подведению итогов 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запроса котировок 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в электронной форме 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н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а право заключения договора на поставку спецодежды для нужд работников Якутского ПМЭС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sz w:val="24"/>
          <w:szCs w:val="24"/>
          <w:lang w:eastAsia="ru-RU"/>
        </w:rPr>
      </w:r>
    </w:p>
    <w:p>
      <w:pPr>
        <w:ind w:right="4" w:firstLine="0"/>
        <w:jc w:val="center"/>
        <w:spacing w:line="240" w:lineRule="auto"/>
        <w:rPr>
          <w:rFonts w:ascii="Times New Roman" w:hAnsi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/>
          <w:b/>
          <w:bCs/>
          <w:sz w:val="26"/>
          <w:szCs w:val="26"/>
          <w:lang w:eastAsia="ru-RU"/>
        </w:rPr>
      </w:r>
    </w:p>
    <w:p>
      <w:pPr>
        <w:ind w:firstLine="0"/>
        <w:jc w:val="left"/>
        <w:tabs>
          <w:tab w:val="left" w:pos="567" w:leader="none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I.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 xml:space="preserve">ВОПРОС</w:t>
      </w:r>
      <w:r>
        <w:rPr>
          <w:rFonts w:ascii="Times New Roman" w:hAnsi="Times New Roman"/>
          <w:b/>
          <w:sz w:val="24"/>
        </w:rPr>
        <w:t xml:space="preserve">Ы</w:t>
      </w:r>
      <w:r>
        <w:rPr>
          <w:rFonts w:ascii="Times New Roman" w:hAnsi="Times New Roman"/>
          <w:b/>
          <w:sz w:val="24"/>
        </w:rPr>
        <w:t xml:space="preserve"> ПОВЕСТКИ: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numPr>
          <w:ilvl w:val="0"/>
          <w:numId w:val="14"/>
        </w:numPr>
        <w:contextualSpacing/>
        <w:ind w:left="0" w:firstLine="0"/>
        <w:spacing w:before="120" w:line="240" w:lineRule="auto"/>
        <w:tabs>
          <w:tab w:val="left" w:pos="567" w:leader="none"/>
        </w:tabs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О признании соответствующей требованиям Извещения о закупке запроса котировок </w:t>
      </w:r>
      <w:r>
        <w:rPr>
          <w:rFonts w:ascii="Times New Roman" w:hAnsi="Times New Roman"/>
          <w:sz w:val="24"/>
          <w:szCs w:val="24"/>
          <w:lang w:eastAsia="ru-RU"/>
        </w:rPr>
        <w:t xml:space="preserve">в электронной форме </w:t>
      </w:r>
      <w:r>
        <w:rPr>
          <w:rFonts w:ascii="Times New Roman" w:hAnsi="Times New Roman"/>
          <w:sz w:val="24"/>
          <w:szCs w:val="24"/>
          <w:lang w:eastAsia="ru-RU"/>
        </w:rPr>
        <w:t xml:space="preserve">на право заключения договора на поставку спецодежды для нужд работников Якутского ПМЭС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(</w:t>
      </w:r>
      <w:r>
        <w:rPr>
          <w:rFonts w:ascii="Times New Roman" w:hAnsi="Times New Roman"/>
          <w:sz w:val="24"/>
          <w:szCs w:val="24"/>
          <w:lang w:eastAsia="ru-RU"/>
        </w:rPr>
        <w:t xml:space="preserve">далее по тексту – запрос котировок, закупка)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Заявки </w:t>
      </w:r>
      <w:r>
        <w:rPr>
          <w:rFonts w:ascii="Times New Roman" w:hAnsi="Times New Roman"/>
          <w:sz w:val="24"/>
          <w:szCs w:val="24"/>
          <w:lang w:eastAsia="ru-RU"/>
        </w:rPr>
        <w:t xml:space="preserve">единственного </w:t>
      </w:r>
      <w:r>
        <w:rPr>
          <w:rFonts w:ascii="Times New Roman" w:hAnsi="Times New Roman"/>
          <w:sz w:val="24"/>
          <w:szCs w:val="24"/>
          <w:lang w:eastAsia="ru-RU"/>
        </w:rPr>
        <w:t xml:space="preserve">Участника.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sz w:val="24"/>
          <w:szCs w:val="24"/>
          <w:lang w:eastAsia="ru-RU"/>
        </w:rPr>
      </w:r>
    </w:p>
    <w:p>
      <w:pPr>
        <w:numPr>
          <w:ilvl w:val="0"/>
          <w:numId w:val="14"/>
        </w:numPr>
        <w:contextualSpacing/>
        <w:ind w:left="0" w:firstLine="0"/>
        <w:spacing w:line="240" w:lineRule="auto"/>
        <w:tabs>
          <w:tab w:val="left" w:pos="567" w:leader="none"/>
        </w:tabs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О проведении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п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роцедур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ы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 аукционного понижения цены (переторжк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и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) по запросу котировок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numPr>
          <w:ilvl w:val="0"/>
          <w:numId w:val="14"/>
        </w:numPr>
        <w:contextualSpacing/>
        <w:ind w:left="0" w:firstLine="0"/>
        <w:spacing w:line="240" w:lineRule="auto"/>
        <w:tabs>
          <w:tab w:val="left" w:pos="567" w:leader="none"/>
        </w:tabs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 xml:space="preserve">О заключении договора по результатам несостоявшейся закупочной процедуры запроса</w:t>
      </w:r>
      <w:r>
        <w:rPr>
          <w:rFonts w:ascii="Times New Roman" w:hAnsi="Times New Roman"/>
          <w:sz w:val="24"/>
          <w:szCs w:val="24"/>
          <w:lang w:eastAsia="ru-RU"/>
        </w:rPr>
        <w:t xml:space="preserve"> котировок.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contextualSpacing/>
        <w:ind w:firstLine="0"/>
        <w:spacing w:line="240" w:lineRule="auto"/>
        <w:tabs>
          <w:tab w:val="left" w:pos="567" w:leader="none"/>
        </w:tabs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0"/>
        <w:jc w:val="left"/>
        <w:tabs>
          <w:tab w:val="left" w:pos="567" w:leader="none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II.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ИНФОРМАЦИЯ О ЗАКУПКЕ: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numPr>
          <w:ilvl w:val="0"/>
          <w:numId w:val="8"/>
        </w:numPr>
        <w:ind w:left="0" w:firstLine="0"/>
        <w:spacing w:line="240" w:lineRule="auto"/>
        <w:widowControl w:val="off"/>
        <w:tabs>
          <w:tab w:val="left" w:pos="567" w:leader="none"/>
        </w:tabs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Заказчик, заключающий договор,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являющийся и Организатором </w:t>
      </w:r>
      <w:r>
        <w:rPr>
          <w:rFonts w:ascii="Times New Roman" w:hAnsi="Times New Roman"/>
          <w:sz w:val="24"/>
          <w:szCs w:val="24"/>
          <w:lang w:eastAsia="ru-RU"/>
        </w:rPr>
        <w:t xml:space="preserve">закупки –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Публичное акционерное общество «Федеральная сетевая компания – Россети» (сокращенное наименование – ПАО «Россети») в лице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Генерального директора филиала ПАО «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Россети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» – МЭС Востока Гончарука Эдуарда Никол</w:t>
      </w:r>
      <w:r>
        <w:rPr>
          <w:rFonts w:ascii="Times New Roman" w:hAnsi="Times New Roman"/>
          <w:bCs/>
          <w:iCs/>
          <w:sz w:val="24"/>
          <w:szCs w:val="24"/>
          <w:highlight w:val="white"/>
          <w:lang w:eastAsia="ru-RU"/>
        </w:rPr>
        <w:t xml:space="preserve">аев</w:t>
      </w:r>
      <w:r>
        <w:rPr>
          <w:rFonts w:ascii="Times New Roman" w:hAnsi="Times New Roman"/>
          <w:bCs/>
          <w:iCs/>
          <w:sz w:val="24"/>
          <w:szCs w:val="24"/>
          <w:highlight w:val="white"/>
          <w:lang w:eastAsia="ru-RU"/>
        </w:rPr>
        <w:t xml:space="preserve">ича, действующего на основании Доверенности от 27.11.2025 № 683-25 (68</w:t>
      </w:r>
      <w:r>
        <w:rPr>
          <w:rFonts w:ascii="Times New Roman" w:hAnsi="Times New Roman"/>
          <w:bCs/>
          <w:iCs/>
          <w:sz w:val="24"/>
          <w:szCs w:val="24"/>
          <w:highlight w:val="white"/>
          <w:lang w:eastAsia="ru-RU"/>
        </w:rPr>
        <w:t xml:space="preserve">0000, г. Хабаровск, ул. Дзержинского, д. 43, </w:t>
      </w:r>
      <w:r>
        <w:rPr>
          <w:rFonts w:ascii="Times New Roman" w:hAnsi="Times New Roman"/>
          <w:bCs/>
          <w:iCs/>
          <w:sz w:val="24"/>
          <w:szCs w:val="24"/>
          <w:highlight w:val="white"/>
          <w:lang w:val="en-US" w:eastAsia="ru-RU"/>
        </w:rPr>
        <w:t xml:space="preserve">E</w:t>
      </w:r>
      <w:r>
        <w:rPr>
          <w:rFonts w:ascii="Times New Roman" w:hAnsi="Times New Roman"/>
          <w:bCs/>
          <w:iCs/>
          <w:sz w:val="24"/>
          <w:szCs w:val="24"/>
          <w:highlight w:val="white"/>
          <w:lang w:eastAsia="ru-RU"/>
        </w:rPr>
        <w:t xml:space="preserve">-</w:t>
      </w:r>
      <w:r>
        <w:rPr>
          <w:rFonts w:ascii="Times New Roman" w:hAnsi="Times New Roman"/>
          <w:bCs/>
          <w:iCs/>
          <w:sz w:val="24"/>
          <w:szCs w:val="24"/>
          <w:highlight w:val="white"/>
          <w:lang w:val="en-US" w:eastAsia="ru-RU"/>
        </w:rPr>
        <w:t xml:space="preserve">mail</w:t>
      </w:r>
      <w:r>
        <w:rPr>
          <w:rFonts w:ascii="Times New Roman" w:hAnsi="Times New Roman"/>
          <w:bCs/>
          <w:iCs/>
          <w:sz w:val="24"/>
          <w:szCs w:val="24"/>
          <w:highlight w:val="white"/>
          <w:lang w:eastAsia="ru-RU"/>
        </w:rPr>
        <w:t xml:space="preserve">: </w:t>
      </w:r>
      <w:hyperlink r:id="rId10" w:tooltip="mailto:vk-hq@fskees.ru" w:history="1">
        <w:r>
          <w:rPr>
            <w:rStyle w:val="902"/>
            <w:rFonts w:ascii="Times New Roman" w:hAnsi="Times New Roman"/>
            <w:bCs/>
            <w:iCs/>
            <w:sz w:val="24"/>
            <w:szCs w:val="24"/>
            <w:highlight w:val="white"/>
            <w:lang w:val="en-US" w:eastAsia="ru-RU"/>
          </w:rPr>
          <w:t xml:space="preserve">vk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highlight w:val="white"/>
            <w:lang w:eastAsia="ru-RU"/>
          </w:rPr>
          <w:t xml:space="preserve">-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highlight w:val="white"/>
            <w:lang w:val="en-US" w:eastAsia="ru-RU"/>
          </w:rPr>
          <w:t xml:space="preserve">hq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highlight w:val="white"/>
            <w:lang w:eastAsia="ru-RU"/>
          </w:rPr>
          <w:t xml:space="preserve">@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highlight w:val="white"/>
            <w:lang w:val="en-US" w:eastAsia="ru-RU"/>
          </w:rPr>
          <w:t xml:space="preserve">fskees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highlight w:val="white"/>
            <w:lang w:eastAsia="ru-RU"/>
          </w:rPr>
          <w:t xml:space="preserve">.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highlight w:val="white"/>
            <w:lang w:val="en-US" w:eastAsia="ru-RU"/>
          </w:rPr>
          <w:t xml:space="preserve">ru</w:t>
        </w:r>
      </w:hyperlink>
      <w:r>
        <w:rPr>
          <w:rFonts w:ascii="Times New Roman" w:hAnsi="Times New Roman"/>
          <w:bCs/>
          <w:iCs/>
          <w:sz w:val="24"/>
          <w:szCs w:val="24"/>
          <w:highlight w:val="white"/>
          <w:lang w:eastAsia="ru-RU"/>
        </w:rPr>
        <w:t xml:space="preserve">, Тел./факс: (4212) 31-86-95)</w:t>
      </w:r>
      <w:r>
        <w:rPr>
          <w:rFonts w:ascii="Times New Roman" w:hAnsi="Times New Roman"/>
          <w:sz w:val="24"/>
          <w:szCs w:val="24"/>
          <w:highlight w:val="white"/>
          <w:lang w:eastAsia="ru-RU"/>
        </w:rPr>
        <w:t xml:space="preserve">.</w:t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Контактное лицо: </w:t>
      </w:r>
      <w:r>
        <w:rPr>
          <w:rFonts w:ascii="Times New Roman" w:hAnsi="Times New Roman"/>
          <w:bCs/>
          <w:iCs/>
          <w:sz w:val="24"/>
          <w:szCs w:val="24"/>
          <w:highlight w:val="white"/>
          <w:lang w:eastAsia="ru-RU"/>
        </w:rPr>
        <w:t xml:space="preserve">Микол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енко Ксения Викторовна, главный специалист службы закупок МЭС Востока. </w:t>
      </w:r>
      <w:r>
        <w:rPr>
          <w:rFonts w:ascii="Times New Roman" w:hAnsi="Times New Roman"/>
          <w:bCs/>
          <w:iCs/>
          <w:sz w:val="24"/>
          <w:szCs w:val="24"/>
          <w:lang w:val="en-US" w:eastAsia="ru-RU"/>
        </w:rPr>
        <w:t xml:space="preserve">E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-</w:t>
      </w:r>
      <w:r>
        <w:rPr>
          <w:rFonts w:ascii="Times New Roman" w:hAnsi="Times New Roman"/>
          <w:bCs/>
          <w:iCs/>
          <w:sz w:val="24"/>
          <w:szCs w:val="24"/>
          <w:lang w:val="en-US" w:eastAsia="ru-RU"/>
        </w:rPr>
        <w:t xml:space="preserve">mail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: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 </w:t>
      </w:r>
      <w:hyperlink r:id="rId11" w:tooltip="mailto:Mikolenko-KV@fskees.ru" w:history="1">
        <w:r>
          <w:rPr>
            <w:rStyle w:val="902"/>
            <w:rFonts w:ascii="Times New Roman" w:hAnsi="Times New Roman"/>
            <w:bCs/>
            <w:iCs/>
            <w:sz w:val="24"/>
            <w:szCs w:val="24"/>
            <w:lang w:val="en-US" w:eastAsia="ru-RU"/>
          </w:rPr>
          <w:t xml:space="preserve">Mikolenko-KV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lang w:eastAsia="ru-RU"/>
          </w:rPr>
          <w:t xml:space="preserve">@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lang w:val="en-US" w:eastAsia="ru-RU"/>
          </w:rPr>
          <w:t xml:space="preserve">fskees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lang w:eastAsia="ru-RU"/>
          </w:rPr>
          <w:t xml:space="preserve">.</w:t>
        </w:r>
        <w:r>
          <w:rPr>
            <w:rStyle w:val="902"/>
            <w:rFonts w:ascii="Times New Roman" w:hAnsi="Times New Roman"/>
            <w:bCs/>
            <w:iCs/>
            <w:sz w:val="24"/>
            <w:szCs w:val="24"/>
            <w:lang w:val="en-US" w:eastAsia="ru-RU"/>
          </w:rPr>
          <w:t xml:space="preserve">ru</w:t>
        </w:r>
      </w:hyperlink>
      <w:r>
        <w:rPr>
          <w:rFonts w:ascii="Times New Roman" w:hAnsi="Times New Roman"/>
          <w:bCs/>
          <w:iCs/>
          <w:sz w:val="24"/>
          <w:szCs w:val="24"/>
          <w:u w:val="single"/>
          <w:lang w:eastAsia="ru-RU"/>
        </w:rPr>
        <w:t xml:space="preserve">,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телефон:</w:t>
      </w:r>
      <w:r>
        <w:rPr>
          <w:rFonts w:ascii="Times New Roman" w:hAnsi="Times New Roman"/>
          <w:bCs/>
          <w:iCs/>
          <w:sz w:val="24"/>
          <w:szCs w:val="24"/>
          <w:lang w:val="en-US" w:eastAsia="ru-RU"/>
        </w:rPr>
        <w:t xml:space="preserve"> 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(4212) 91-33-51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 xml:space="preserve">Наименование закупки: запрос котировок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в электронной форме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на право заключения договора на поставку спецодежды для нужд работников Якутского ПМЭС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Извещение от 26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.11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.202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5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№ М3/19/792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о проведении запроса котировок опубликовано 26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.11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.202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5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на официальном сайте Единой информационной системы в сфере закупок в сети Интернет, </w:t>
      </w:r>
      <w:hyperlink r:id="rId12" w:tooltip="http://www.zakupki.gov.ru" w:history="1">
        <w:r>
          <w:rPr>
            <w:rStyle w:val="902"/>
            <w:rFonts w:ascii="Times New Roman" w:hAnsi="Times New Roman"/>
            <w:iCs/>
            <w:sz w:val="24"/>
            <w:szCs w:val="24"/>
            <w:lang w:val="en-US" w:eastAsia="ru-RU"/>
          </w:rPr>
          <w:t xml:space="preserve">www</w:t>
        </w:r>
        <w:r>
          <w:rPr>
            <w:rStyle w:val="902"/>
            <w:rFonts w:ascii="Times New Roman" w:hAnsi="Times New Roman"/>
            <w:iCs/>
            <w:sz w:val="24"/>
            <w:szCs w:val="24"/>
            <w:lang w:eastAsia="ru-RU"/>
          </w:rPr>
          <w:t xml:space="preserve">.</w:t>
        </w:r>
        <w:r>
          <w:rPr>
            <w:rStyle w:val="902"/>
            <w:rFonts w:ascii="Times New Roman" w:hAnsi="Times New Roman"/>
            <w:iCs/>
            <w:sz w:val="24"/>
            <w:szCs w:val="24"/>
            <w:lang w:val="en-US" w:eastAsia="ru-RU"/>
          </w:rPr>
          <w:t xml:space="preserve">zakupki</w:t>
        </w:r>
        <w:r>
          <w:rPr>
            <w:rStyle w:val="902"/>
            <w:rFonts w:ascii="Times New Roman" w:hAnsi="Times New Roman"/>
            <w:iCs/>
            <w:sz w:val="24"/>
            <w:szCs w:val="24"/>
            <w:lang w:eastAsia="ru-RU"/>
          </w:rPr>
          <w:t xml:space="preserve">.</w:t>
        </w:r>
        <w:r>
          <w:rPr>
            <w:rStyle w:val="902"/>
            <w:rFonts w:ascii="Times New Roman" w:hAnsi="Times New Roman"/>
            <w:iCs/>
            <w:sz w:val="24"/>
            <w:szCs w:val="24"/>
            <w:lang w:val="en-US" w:eastAsia="ru-RU"/>
          </w:rPr>
          <w:t xml:space="preserve">gov</w:t>
        </w:r>
        <w:r>
          <w:rPr>
            <w:rStyle w:val="902"/>
            <w:rFonts w:ascii="Times New Roman" w:hAnsi="Times New Roman"/>
            <w:iCs/>
            <w:sz w:val="24"/>
            <w:szCs w:val="24"/>
            <w:lang w:eastAsia="ru-RU"/>
          </w:rPr>
          <w:t xml:space="preserve">.</w:t>
        </w:r>
        <w:r>
          <w:rPr>
            <w:rStyle w:val="902"/>
            <w:rFonts w:ascii="Times New Roman" w:hAnsi="Times New Roman"/>
            <w:iCs/>
            <w:sz w:val="24"/>
            <w:szCs w:val="24"/>
            <w:lang w:val="en-US" w:eastAsia="ru-RU"/>
          </w:rPr>
          <w:t xml:space="preserve">ru</w:t>
        </w:r>
      </w:hyperlink>
      <w:r>
        <w:rPr>
          <w:rFonts w:ascii="Times New Roman" w:hAnsi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№ 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32515449108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(далее по тексту - ЕИС)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и на электронной площадке «РТС-Тендер» (</w:t>
      </w:r>
      <w:hyperlink r:id="rId13" w:tooltip="http://www.rts-tender.ru" w:history="1">
        <w:r>
          <w:rPr>
            <w:rStyle w:val="902"/>
            <w:rFonts w:ascii="Times New Roman" w:hAnsi="Times New Roman"/>
            <w:bCs/>
            <w:iCs/>
            <w:sz w:val="24"/>
            <w:szCs w:val="24"/>
            <w:lang w:eastAsia="ru-RU"/>
          </w:rPr>
          <w:t xml:space="preserve">www.rts-tender.ru</w:t>
        </w:r>
      </w:hyperlink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)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№ 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3682115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(далее по тексту - ЭП)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 xml:space="preserve">Наименование предмета договора: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спецодежды для нужд работников Якутского ПМЭС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 xml:space="preserve">Сведения о сроке исполнения договора: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с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01.02.2026 по 15.03.2026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highlight w:val="white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 xml:space="preserve">Срок предоставления Документации о закупк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е: 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с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 26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.11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.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202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5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 10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:02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 (М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СК) 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по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 10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.12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.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202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5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 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04:00 (МСК).</w:t>
      </w:r>
      <w:r>
        <w:rPr>
          <w:rFonts w:ascii="Times New Roman" w:hAnsi="Times New Roman"/>
          <w:iCs/>
          <w:sz w:val="24"/>
          <w:szCs w:val="24"/>
          <w:highlight w:val="white"/>
        </w:rPr>
      </w:r>
      <w:r>
        <w:rPr>
          <w:rFonts w:ascii="Times New Roman" w:hAnsi="Times New Roman"/>
          <w:iCs/>
          <w:sz w:val="24"/>
          <w:szCs w:val="24"/>
          <w:highlight w:val="white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highlight w:val="white"/>
        </w:rPr>
      </w:pP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Сроки рассмотрения Заявок: </w:t>
      </w:r>
      <w:r>
        <w:rPr>
          <w:rFonts w:ascii="Times New Roman" w:hAnsi="Times New Roman"/>
          <w:sz w:val="24"/>
          <w:szCs w:val="24"/>
          <w:highlight w:val="white"/>
          <w:lang w:eastAsia="ru-RU"/>
        </w:rPr>
        <w:t xml:space="preserve">в течение 20 (Двадцати) рабочих дней с момента направления оператором ЭП заказчику заявок Участников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.</w:t>
      </w:r>
      <w:r>
        <w:rPr>
          <w:rFonts w:ascii="Times New Roman" w:hAnsi="Times New Roman"/>
          <w:iCs/>
          <w:sz w:val="24"/>
          <w:szCs w:val="24"/>
          <w:highlight w:val="white"/>
        </w:rPr>
      </w:r>
      <w:r>
        <w:rPr>
          <w:rFonts w:ascii="Times New Roman" w:hAnsi="Times New Roman"/>
          <w:iCs/>
          <w:sz w:val="24"/>
          <w:szCs w:val="24"/>
          <w:highlight w:val="white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Срок 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подведения итогов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 закупки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: 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в течение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 5 (Пяти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) рабочих дней с момента публикации на ЭП протокола рассмотрения заявок участников или даты последней переторжки (в случае назначения проведения переторжки Закупочной комиссией)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 xml:space="preserve">Место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рассмотрения заявок Участников и подведения итогов закупки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: по адресу Организатора.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bCs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Начальная (максимальная) цена договора составляет: 489 603 (Четыреста восемьдесят девять тысяч шестьсот три) рубля 33 копейки, кроме того НДС в размере 20 % - 97 920 (Девяносто семь тысяч девятьсот двадцать) рублей 67 копеек. 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Начальная (максимальная) цена договора с учётом НДС 20 % составляет: 587 524 (Пятьсот восемьдесят семь тысяч пятьсот двадцать четыре) рубля 00 копеек.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</w:r>
      <w:r>
        <w:rPr>
          <w:rFonts w:ascii="Times New Roman" w:hAnsi="Times New Roman"/>
          <w:bCs/>
          <w:iCs/>
          <w:sz w:val="24"/>
          <w:szCs w:val="24"/>
          <w:lang w:eastAsia="ru-RU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 xml:space="preserve">На момент окончания срока подачи заявок на участие в закупке была подана 1 (одна) заявка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: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tbl>
      <w:tblPr>
        <w:tblW w:w="5000" w:type="pct"/>
        <w:tblInd w:w="-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ook w:val="00A0" w:firstRow="1" w:lastRow="0" w:firstColumn="1" w:lastColumn="0" w:noHBand="0" w:noVBand="0"/>
      </w:tblPr>
      <w:tblGrid>
        <w:gridCol w:w="2189"/>
        <w:gridCol w:w="3316"/>
        <w:gridCol w:w="4253"/>
      </w:tblGrid>
      <w:tr>
        <w:tblPrEx/>
        <w:trPr>
          <w:cantSplit/>
          <w:trHeight w:val="28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1" w:type="pct"/>
            <w:vAlign w:val="center"/>
            <w:textDirection w:val="lrTb"/>
            <w:noWrap w:val="false"/>
          </w:tcPr>
          <w:p>
            <w:pPr>
              <w:ind w:firstLine="34"/>
              <w:jc w:val="center"/>
              <w:spacing w:line="240" w:lineRule="auto"/>
              <w:rPr>
                <w:rFonts w:ascii="Times New Roman" w:hAnsi="Times New Roman"/>
                <w:bCs/>
                <w:color w:val="000000"/>
                <w:sz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</w:rPr>
              <w:t xml:space="preserve">Регистрационный номер заявки</w:t>
            </w:r>
            <w:r>
              <w:rPr>
                <w:rFonts w:ascii="Times New Roman" w:hAnsi="Times New Roman"/>
                <w:bCs/>
                <w:color w:val="000000"/>
                <w:sz w:val="20"/>
              </w:rPr>
            </w:r>
            <w:r>
              <w:rPr>
                <w:rFonts w:ascii="Times New Roman" w:hAnsi="Times New Roman"/>
                <w:bCs/>
                <w:color w:val="00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9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/>
                <w:bCs/>
                <w:color w:val="000000"/>
                <w:sz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</w:rPr>
              <w:t xml:space="preserve">Дата подачи заявки</w:t>
            </w:r>
            <w:r>
              <w:rPr>
                <w:rFonts w:ascii="Times New Roman" w:hAnsi="Times New Roman"/>
                <w:bCs/>
                <w:color w:val="000000"/>
                <w:sz w:val="20"/>
              </w:rPr>
            </w:r>
            <w:r>
              <w:rPr>
                <w:rFonts w:ascii="Times New Roman" w:hAnsi="Times New Roman"/>
                <w:bCs/>
                <w:color w:val="00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9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/>
                <w:bCs/>
                <w:color w:val="000000"/>
                <w:sz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</w:rPr>
              <w:t xml:space="preserve">Наименование участника</w:t>
            </w:r>
            <w:r>
              <w:rPr>
                <w:rFonts w:ascii="Times New Roman" w:hAnsi="Times New Roman"/>
                <w:bCs/>
                <w:color w:val="000000"/>
                <w:sz w:val="20"/>
              </w:rPr>
            </w:r>
            <w:r>
              <w:rPr>
                <w:rFonts w:ascii="Times New Roman" w:hAnsi="Times New Roman"/>
                <w:bCs/>
                <w:color w:val="000000"/>
                <w:sz w:val="20"/>
              </w:rPr>
            </w:r>
          </w:p>
        </w:tc>
      </w:tr>
      <w:tr>
        <w:tblPrEx/>
        <w:trPr>
          <w:cantSplit/>
          <w:trHeight w:val="38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1" w:type="pct"/>
            <w:vAlign w:val="center"/>
            <w:textDirection w:val="lrTb"/>
            <w:noWrap w:val="false"/>
          </w:tcPr>
          <w:p>
            <w:pPr>
              <w:ind w:firstLine="34"/>
              <w:jc w:val="center"/>
              <w:spacing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9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04.12.2025 03:38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(МСК)</w:t>
            </w: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9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tabs>
                <w:tab w:val="left" w:pos="317" w:leader="none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"ВОСТОК-СЕРВИС-АМУР"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numPr>
          <w:ilvl w:val="0"/>
          <w:numId w:val="8"/>
        </w:numPr>
        <w:ind w:left="0" w:firstLine="0"/>
        <w:spacing w:before="60" w:after="12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 xml:space="preserve">В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 соответствии с пп. «а» п. 7.5.1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. Единого Стандарта закупок ПАО «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Россети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», в связи с тем, что по окончании срока подачи заявок подана только одна заявка, запрос котировок признан несостоявшимся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numPr>
          <w:ilvl w:val="0"/>
          <w:numId w:val="8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Сведения о ценовом предложении Заявки Участника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: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tbl>
      <w:tblPr>
        <w:tblpPr w:horzAnchor="margin" w:tblpX="-17" w:vertAnchor="text" w:tblpY="82" w:leftFromText="180" w:topFromText="0" w:rightFromText="180" w:bottomFromText="0"/>
        <w:tblW w:w="5059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605"/>
        <w:gridCol w:w="1844"/>
        <w:gridCol w:w="2266"/>
        <w:gridCol w:w="2075"/>
        <w:gridCol w:w="2092"/>
      </w:tblGrid>
      <w:tr>
        <w:tblPrEx/>
        <w:trPr>
          <w:trHeight w:val="558"/>
          <w:tblHeader/>
        </w:trPr>
        <w:tc>
          <w:tcPr>
            <w:tcW w:w="160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rFonts w:ascii="Times New Roman" w:hAnsi="Times New Roman"/>
                <w:bCs/>
                <w:color w:val="000000"/>
                <w:sz w:val="20"/>
              </w:rPr>
            </w:pPr>
            <w:r>
              <w:rPr>
                <w:rFonts w:ascii="Times New Roman" w:hAnsi="Times New Roman"/>
                <w:bCs/>
                <w:iCs/>
                <w:sz w:val="20"/>
                <w:lang w:eastAsia="ru-RU"/>
              </w:rPr>
              <w:t xml:space="preserve">Итоговый рейтинг заявки (порядковый номер)</w:t>
            </w:r>
            <w:r>
              <w:rPr>
                <w:rFonts w:ascii="Times New Roman" w:hAnsi="Times New Roman"/>
                <w:bCs/>
                <w:color w:val="000000"/>
                <w:sz w:val="20"/>
              </w:rPr>
            </w:r>
            <w:r>
              <w:rPr>
                <w:rFonts w:ascii="Times New Roman" w:hAnsi="Times New Roman"/>
                <w:bCs/>
                <w:color w:val="000000"/>
                <w:sz w:val="20"/>
              </w:rPr>
            </w:r>
          </w:p>
        </w:tc>
        <w:tc>
          <w:tcPr>
            <w:tcW w:w="944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widowControl w:val="off"/>
              <w:rPr>
                <w:rFonts w:ascii="Times New Roman" w:hAnsi="Times New Roman"/>
                <w:bCs/>
                <w:sz w:val="2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</w:rPr>
              <w:t xml:space="preserve">Регистрационный номер заявки</w:t>
            </w:r>
            <w:r>
              <w:rPr>
                <w:rFonts w:ascii="Times New Roman" w:hAnsi="Times New Roman"/>
                <w:bCs/>
                <w:sz w:val="20"/>
                <w:lang w:eastAsia="ru-RU"/>
              </w:rPr>
            </w:r>
            <w:r>
              <w:rPr>
                <w:rFonts w:ascii="Times New Roman" w:hAnsi="Times New Roman"/>
                <w:bCs/>
                <w:sz w:val="20"/>
                <w:lang w:eastAsia="ru-RU"/>
              </w:rPr>
            </w:r>
          </w:p>
        </w:tc>
        <w:tc>
          <w:tcPr>
            <w:tcW w:w="1160" w:type="pct"/>
            <w:vAlign w:val="center"/>
            <w:textDirection w:val="lrTb"/>
            <w:noWrap w:val="false"/>
          </w:tcPr>
          <w:p>
            <w:pPr>
              <w:ind w:left="33" w:right="35" w:firstLine="0"/>
              <w:jc w:val="center"/>
              <w:spacing w:line="240" w:lineRule="auto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Наименование участника</w:t>
            </w:r>
            <w:r>
              <w:rPr>
                <w:rFonts w:ascii="Times New Roman" w:hAnsi="Times New Roman"/>
                <w:bCs/>
                <w:sz w:val="20"/>
              </w:rPr>
            </w:r>
            <w:r>
              <w:rPr>
                <w:rFonts w:ascii="Times New Roman" w:hAnsi="Times New Roman"/>
                <w:bCs/>
                <w:sz w:val="20"/>
              </w:rPr>
            </w:r>
          </w:p>
        </w:tc>
        <w:tc>
          <w:tcPr>
            <w:tcW w:w="2075" w:type="dxa"/>
            <w:vAlign w:val="center"/>
            <w:textDirection w:val="lrTb"/>
            <w:noWrap w:val="false"/>
          </w:tcPr>
          <w:p>
            <w:pPr>
              <w:ind w:right="34" w:firstLine="0"/>
              <w:jc w:val="center"/>
              <w:spacing w:line="240" w:lineRule="auto"/>
              <w:rPr>
                <w:rFonts w:ascii="Times New Roman" w:hAnsi="Times New Roman" w:eastAsia="Calibri"/>
                <w:sz w:val="20"/>
              </w:rPr>
            </w:pPr>
            <w:r>
              <w:rPr>
                <w:rFonts w:ascii="Times New Roman" w:hAnsi="Times New Roman"/>
                <w:bCs/>
                <w:sz w:val="20"/>
                <w:lang w:eastAsia="ru-RU"/>
              </w:rPr>
              <w:t xml:space="preserve">Ценовое предложение</w:t>
            </w:r>
            <w:r>
              <w:rPr>
                <w:rFonts w:ascii="Times New Roman" w:hAnsi="Times New Roman"/>
                <w:bCs/>
                <w:sz w:val="20"/>
                <w:lang w:eastAsia="ru-RU"/>
              </w:rPr>
              <w:t xml:space="preserve">, рублей без НДС</w:t>
            </w:r>
            <w:r>
              <w:rPr>
                <w:rFonts w:ascii="Times New Roman" w:hAnsi="Times New Roman" w:eastAsia="Calibri"/>
                <w:sz w:val="20"/>
              </w:rPr>
            </w:r>
            <w:r>
              <w:rPr>
                <w:rFonts w:ascii="Times New Roman" w:hAnsi="Times New Roman" w:eastAsia="Calibri"/>
                <w:sz w:val="20"/>
              </w:rPr>
            </w:r>
          </w:p>
        </w:tc>
        <w:tc>
          <w:tcPr>
            <w:tcW w:w="2092" w:type="dxa"/>
            <w:vAlign w:val="center"/>
            <w:textDirection w:val="lrTb"/>
            <w:noWrap w:val="false"/>
          </w:tcPr>
          <w:p>
            <w:pPr>
              <w:ind w:right="34" w:firstLine="0"/>
              <w:jc w:val="center"/>
              <w:spacing w:line="240" w:lineRule="auto"/>
              <w:rPr>
                <w:rFonts w:ascii="Times New Roman" w:hAnsi="Times New Roman" w:eastAsia="Calibri"/>
                <w:sz w:val="20"/>
              </w:rPr>
            </w:pPr>
            <w:r>
              <w:rPr>
                <w:rFonts w:ascii="Times New Roman" w:hAnsi="Times New Roman"/>
                <w:bCs/>
                <w:sz w:val="20"/>
                <w:lang w:eastAsia="ru-RU"/>
              </w:rPr>
              <w:t xml:space="preserve">Ценовое предложение</w:t>
            </w:r>
            <w:r>
              <w:rPr>
                <w:rFonts w:ascii="Times New Roman" w:hAnsi="Times New Roman"/>
                <w:bCs/>
                <w:sz w:val="20"/>
                <w:lang w:eastAsia="ru-RU"/>
              </w:rPr>
              <w:t xml:space="preserve">, рублей </w:t>
            </w:r>
            <w:r>
              <w:rPr>
                <w:rFonts w:ascii="Times New Roman" w:hAnsi="Times New Roman"/>
                <w:bCs/>
                <w:sz w:val="20"/>
                <w:lang w:eastAsia="ru-RU"/>
              </w:rPr>
              <w:t xml:space="preserve">с НДС</w:t>
            </w:r>
            <w:r>
              <w:rPr>
                <w:rFonts w:ascii="Times New Roman" w:hAnsi="Times New Roman" w:eastAsia="Calibri"/>
                <w:sz w:val="20"/>
              </w:rPr>
            </w:r>
            <w:r>
              <w:rPr>
                <w:rFonts w:ascii="Times New Roman" w:hAnsi="Times New Roman" w:eastAsia="Calibri"/>
                <w:sz w:val="20"/>
              </w:rPr>
            </w:r>
          </w:p>
        </w:tc>
      </w:tr>
      <w:tr>
        <w:tblPrEx/>
        <w:trPr>
          <w:trHeight w:val="431"/>
          <w:tblHeader/>
        </w:trPr>
        <w:tc>
          <w:tcPr>
            <w:tcW w:w="160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1</w:t>
            </w:r>
            <w:r>
              <w:rPr>
                <w:rFonts w:ascii="Times New Roman" w:hAnsi="Times New Roman"/>
                <w:bCs/>
                <w:sz w:val="20"/>
              </w:rPr>
            </w:r>
            <w:r>
              <w:rPr>
                <w:rFonts w:ascii="Times New Roman" w:hAnsi="Times New Roman"/>
                <w:bCs/>
                <w:sz w:val="20"/>
              </w:rPr>
            </w:r>
          </w:p>
        </w:tc>
        <w:tc>
          <w:tcPr>
            <w:tcW w:w="944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1</w:t>
            </w:r>
            <w:r>
              <w:rPr>
                <w:rFonts w:ascii="Times New Roman" w:hAnsi="Times New Roman"/>
                <w:bCs/>
                <w:sz w:val="20"/>
              </w:rPr>
            </w:r>
            <w:r>
              <w:rPr>
                <w:rFonts w:ascii="Times New Roman" w:hAnsi="Times New Roman"/>
                <w:bCs/>
                <w:sz w:val="20"/>
              </w:rPr>
            </w:r>
          </w:p>
        </w:tc>
        <w:tc>
          <w:tcPr>
            <w:tcW w:w="1160" w:type="pct"/>
            <w:vAlign w:val="center"/>
            <w:textDirection w:val="lrTb"/>
            <w:noWrap w:val="false"/>
          </w:tcPr>
          <w:p>
            <w:pPr>
              <w:ind w:firstLine="35"/>
              <w:jc w:val="center"/>
              <w:spacing w:line="240" w:lineRule="auto"/>
              <w:rPr>
                <w:rFonts w:ascii="Times New Roman" w:hAnsi="Times New Roman"/>
                <w:bCs/>
                <w:sz w:val="20"/>
                <w:highlight w:val="yellow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"ВОСТОК-СЕРВИС-АМУР"</w:t>
            </w:r>
            <w:r>
              <w:rPr>
                <w:rFonts w:ascii="Times New Roman" w:hAnsi="Times New Roman"/>
                <w:bCs/>
                <w:sz w:val="20"/>
                <w:highlight w:val="yellow"/>
              </w:rPr>
            </w:r>
            <w:r>
              <w:rPr>
                <w:rFonts w:ascii="Times New Roman" w:hAnsi="Times New Roman"/>
                <w:bCs/>
                <w:sz w:val="20"/>
                <w:highlight w:val="yellow"/>
              </w:rPr>
            </w:r>
          </w:p>
        </w:tc>
        <w:tc>
          <w:tcPr>
            <w:tcW w:w="2075" w:type="dxa"/>
            <w:vAlign w:val="center"/>
            <w:textDirection w:val="lrTb"/>
            <w:noWrap w:val="false"/>
          </w:tcPr>
          <w:p>
            <w:pPr>
              <w:contextualSpacing w:val="0"/>
              <w:ind w:left="0" w:right="0" w:firstLine="0"/>
              <w:jc w:val="center"/>
              <w:spacing w:before="0" w:after="0" w:line="240" w:lineRule="auto"/>
              <w:rPr>
                <w:rFonts w:ascii="Times New Roman" w:hAnsi="Times New Roman" w:cs="Times New Roman"/>
                <w:sz w:val="20"/>
                <w:szCs w:val="20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459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082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,70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2092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  <w:t xml:space="preserve">550 899,24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</w:tr>
    </w:tbl>
    <w:p>
      <w:pPr>
        <w:ind w:firstLine="0"/>
        <w:jc w:val="left"/>
        <w:spacing w:before="240"/>
        <w:tabs>
          <w:tab w:val="left" w:pos="567" w:leader="none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III.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caps/>
          <w:sz w:val="24"/>
          <w:szCs w:val="24"/>
          <w:lang w:eastAsia="ru-RU"/>
        </w:rPr>
        <w:t xml:space="preserve">РЕШЕНИ</w:t>
      </w:r>
      <w:r>
        <w:rPr>
          <w:rFonts w:ascii="Times New Roman" w:hAnsi="Times New Roman"/>
          <w:b/>
          <w:caps/>
          <w:sz w:val="24"/>
          <w:szCs w:val="24"/>
          <w:lang w:eastAsia="ru-RU"/>
        </w:rPr>
        <w:t xml:space="preserve">я</w:t>
      </w:r>
      <w:r>
        <w:rPr>
          <w:rFonts w:ascii="Times New Roman" w:hAnsi="Times New Roman"/>
          <w:b/>
          <w:caps/>
          <w:sz w:val="24"/>
          <w:szCs w:val="24"/>
          <w:lang w:eastAsia="ru-RU"/>
        </w:rPr>
        <w:t xml:space="preserve"> ЗАКУПОЧНОЙ КОМИССИИ: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numPr>
          <w:ilvl w:val="0"/>
          <w:numId w:val="13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bCs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Признать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соответствующей требованиям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Извещения о закупке заявку </w:t>
      </w:r>
      <w:r>
        <w:rPr>
          <w:rFonts w:ascii="Times New Roman" w:hAnsi="Times New Roman"/>
          <w:sz w:val="24"/>
          <w:szCs w:val="24"/>
        </w:rPr>
        <w:t xml:space="preserve">ООО "ВОСТОК-СЕРВИС-АМУР"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</w:r>
      <w:r>
        <w:rPr>
          <w:rFonts w:ascii="Times New Roman" w:hAnsi="Times New Roman"/>
          <w:bCs/>
          <w:iCs/>
          <w:sz w:val="24"/>
          <w:szCs w:val="24"/>
          <w:lang w:eastAsia="ru-RU"/>
        </w:rPr>
      </w:r>
    </w:p>
    <w:p>
      <w:pPr>
        <w:ind w:left="567" w:firstLine="0"/>
        <w:spacing w:line="240" w:lineRule="auto"/>
        <w:widowControl w:val="off"/>
        <w:tabs>
          <w:tab w:val="left" w:pos="567" w:leader="none"/>
        </w:tabs>
        <w:rPr>
          <w:rFonts w:ascii="Times New Roman" w:hAnsi="Times New Roman"/>
          <w:bCs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Количество допущенных заявок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- 1.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</w:r>
      <w:r>
        <w:rPr>
          <w:rFonts w:ascii="Times New Roman" w:hAnsi="Times New Roman"/>
          <w:bCs/>
          <w:iCs/>
          <w:sz w:val="24"/>
          <w:szCs w:val="24"/>
          <w:lang w:eastAsia="ru-RU"/>
        </w:rPr>
      </w:r>
    </w:p>
    <w:p>
      <w:pPr>
        <w:ind w:left="567" w:firstLine="0"/>
        <w:spacing w:after="120" w:line="240" w:lineRule="auto"/>
        <w:widowControl w:val="off"/>
        <w:tabs>
          <w:tab w:val="left" w:pos="567" w:leader="none"/>
        </w:tabs>
        <w:rPr>
          <w:rFonts w:ascii="Times New Roman" w:hAnsi="Times New Roman"/>
          <w:bCs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Количество отклоненных заявок - 0.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</w:r>
      <w:r>
        <w:rPr>
          <w:rFonts w:ascii="Times New Roman" w:hAnsi="Times New Roman"/>
          <w:bCs/>
          <w:iCs/>
          <w:sz w:val="24"/>
          <w:szCs w:val="24"/>
          <w:lang w:eastAsia="ru-RU"/>
        </w:rPr>
      </w:r>
    </w:p>
    <w:p>
      <w:pPr>
        <w:numPr>
          <w:ilvl w:val="0"/>
          <w:numId w:val="13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 xml:space="preserve">Процедуру аукционного понижения цены (переторжку) по запросу котировок не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проводить.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numPr>
          <w:ilvl w:val="0"/>
          <w:numId w:val="13"/>
        </w:numPr>
        <w:ind w:left="0" w:firstLine="0"/>
        <w:spacing w:before="6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Филиалу ПАО «Россети» -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Якутское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ПМЭС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: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pStyle w:val="886"/>
        <w:numPr>
          <w:ilvl w:val="1"/>
          <w:numId w:val="13"/>
        </w:numPr>
        <w:ind w:left="0" w:firstLine="0"/>
        <w:spacing w:before="60" w:after="120" w:line="240" w:lineRule="auto"/>
        <w:widowControl w:val="off"/>
        <w:tabs>
          <w:tab w:val="left" w:pos="567" w:leader="none"/>
        </w:tabs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 xml:space="preserve">В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соответствии с п. 7.5.3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. Единого Стандарта закупок ПАО «Россети», в срок не ранее чем через 10 (Десять) дней и не позднее чем через 20 (Двадцать) дней с момента размещения в ЕИС данного итогового протокола заключить договор 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на поставку спецодежды для нужд работников Якутского ПМЭС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с единственным Участником запроса котировок - 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ООО "ВОСТОК-СЕРВИС-АМУР"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на сумму, не превышающую 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550 899 </w:t>
      </w:r>
      <w:r>
        <w:rPr>
          <w:rFonts w:ascii="Times New Roman" w:hAnsi="Times New Roman"/>
          <w:bCs/>
          <w:sz w:val="24"/>
          <w:szCs w:val="24"/>
        </w:rPr>
        <w:t xml:space="preserve">(Пятьсот пятьдесят тысяч восемьсот девяносто девять) рублей 24 копейки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с учетом НДС 20%</w:t>
      </w:r>
      <w:r>
        <w:rPr>
          <w:rFonts w:ascii="Times New Roman" w:hAnsi="Times New Roman"/>
          <w:bCs/>
          <w:sz w:val="24"/>
          <w:szCs w:val="24"/>
          <w:highlight w:val="white"/>
        </w:rPr>
        <w:t xml:space="preserve">,</w:t>
      </w:r>
      <w:r>
        <w:rPr>
          <w:rFonts w:ascii="Times New Roman" w:hAnsi="Times New Roman"/>
          <w:bCs/>
          <w:iCs/>
          <w:sz w:val="24"/>
          <w:szCs w:val="24"/>
          <w:highlight w:val="white"/>
          <w:lang w:eastAsia="ru-RU"/>
        </w:rPr>
        <w:t xml:space="preserve">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и окончательно определе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нную</w:t>
      </w:r>
      <w:r>
        <w:rPr>
          <w:rFonts w:ascii="Times New Roman" w:hAnsi="Times New Roman"/>
          <w:iCs/>
          <w:sz w:val="24"/>
          <w:szCs w:val="24"/>
          <w:highlight w:val="white"/>
          <w:lang w:eastAsia="ru-RU"/>
        </w:rPr>
        <w:t xml:space="preserve"> при вып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олнении п. 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3.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2. настоящего протокола.</w:t>
      </w:r>
      <w:r>
        <w:rPr>
          <w:rFonts w:ascii="Times New Roman" w:hAnsi="Times New Roman"/>
          <w:iCs/>
          <w:sz w:val="24"/>
          <w:szCs w:val="24"/>
          <w:lang w:eastAsia="ru-RU"/>
        </w:rPr>
      </w:r>
      <w:r>
        <w:rPr>
          <w:rFonts w:ascii="Times New Roman" w:hAnsi="Times New Roman"/>
          <w:iCs/>
          <w:sz w:val="24"/>
          <w:szCs w:val="24"/>
          <w:lang w:eastAsia="ru-RU"/>
        </w:rPr>
      </w:r>
    </w:p>
    <w:p>
      <w:pPr>
        <w:pStyle w:val="886"/>
        <w:numPr>
          <w:ilvl w:val="1"/>
          <w:numId w:val="13"/>
        </w:numPr>
        <w:ind w:left="0" w:firstLine="0"/>
        <w:spacing w:before="60" w:after="120" w:line="240" w:lineRule="auto"/>
        <w:widowControl w:val="off"/>
        <w:tabs>
          <w:tab w:val="left" w:pos="567" w:leader="none"/>
        </w:tabs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 xml:space="preserve">П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ровести 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с 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ООО "ВОСТОК-СЕРВИС-АМУР"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пр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еддоговорные переговоры о снижении цены Заявки. Ход переговоров и достигнутые результаты зафиксировать в Соглашении о преддоговорных переговорах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bCs/>
          <w:sz w:val="24"/>
          <w:szCs w:val="24"/>
          <w:lang w:eastAsia="ru-RU"/>
        </w:rPr>
      </w:r>
      <w:r>
        <w:rPr>
          <w:rFonts w:ascii="Times New Roman" w:hAnsi="Times New Roman"/>
          <w:bCs/>
          <w:sz w:val="24"/>
          <w:szCs w:val="24"/>
          <w:lang w:eastAsia="ru-RU"/>
        </w:rPr>
      </w:r>
    </w:p>
    <w:p>
      <w:pPr>
        <w:pStyle w:val="886"/>
        <w:ind w:left="0" w:firstLine="0"/>
        <w:spacing w:line="240" w:lineRule="auto"/>
        <w:widowControl w:val="off"/>
        <w:tabs>
          <w:tab w:val="left" w:pos="567" w:leader="none"/>
        </w:tabs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</w:r>
      <w:r>
        <w:rPr>
          <w:rFonts w:ascii="Times New Roman" w:hAnsi="Times New Roman"/>
          <w:bCs/>
          <w:sz w:val="24"/>
          <w:szCs w:val="24"/>
          <w:lang w:eastAsia="ru-RU"/>
        </w:rPr>
      </w:r>
      <w:r>
        <w:rPr>
          <w:rFonts w:ascii="Times New Roman" w:hAnsi="Times New Roman"/>
          <w:bCs/>
          <w:sz w:val="24"/>
          <w:szCs w:val="24"/>
          <w:lang w:eastAsia="ru-RU"/>
        </w:rPr>
      </w:r>
    </w:p>
    <w:tbl>
      <w:tblPr>
        <w:tblW w:w="992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006"/>
        <w:gridCol w:w="2410"/>
        <w:gridCol w:w="4507"/>
      </w:tblGrid>
      <w:tr>
        <w:tblPrEx/>
        <w:trPr>
          <w:trHeight w:val="928" w:hRule="exact"/>
        </w:trPr>
        <w:tc>
          <w:tcPr>
            <w:tcW w:w="3006" w:type="dxa"/>
            <w:textDirection w:val="lrTb"/>
            <w:noWrap w:val="false"/>
          </w:tcPr>
          <w:p>
            <w:pPr>
              <w:ind w:firstLine="0"/>
              <w:spacing w:line="240" w:lineRule="auto"/>
              <w:widowControl w:val="off"/>
              <w:tabs>
                <w:tab w:val="left" w:pos="9354" w:leader="none"/>
              </w:tabs>
              <w:rPr>
                <w:rFonts w:ascii="Times New Roman" w:hAnsi="Times New Roman"/>
                <w:sz w:val="24"/>
                <w:szCs w:val="22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Председатель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Закупочной комиссии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: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ind w:right="34" w:firstLine="0"/>
              <w:jc w:val="center"/>
              <w:spacing w:line="240" w:lineRule="auto"/>
              <w:widowControl w:val="off"/>
              <w:rPr>
                <w:rFonts w:ascii="Times New Roman" w:hAnsi="Times New Roman"/>
                <w:sz w:val="24"/>
                <w:szCs w:val="22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Гончарук Э. Н.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</w:p>
        </w:tc>
        <w:tc>
          <w:tcPr>
            <w:tcW w:w="4507" w:type="dxa"/>
            <w:textDirection w:val="lrTb"/>
            <w:noWrap w:val="false"/>
          </w:tcPr>
          <w:p>
            <w:pPr>
              <w:ind w:firstLine="0"/>
              <w:spacing w:line="240" w:lineRule="auto"/>
              <w:widowControl w:val="off"/>
              <w:tabs>
                <w:tab w:val="right" w:pos="14580" w:leader="none"/>
              </w:tabs>
              <w:rPr>
                <w:rFonts w:ascii="Times New Roman" w:hAnsi="Times New Roman"/>
                <w:sz w:val="24"/>
                <w:szCs w:val="22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Генеральный директор МЭС Востока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</w:p>
        </w:tc>
      </w:tr>
      <w:tr>
        <w:tblPrEx/>
        <w:trPr>
          <w:trHeight w:val="940" w:hRule="exact"/>
        </w:trPr>
        <w:tc>
          <w:tcPr>
            <w:tcW w:w="3006" w:type="dxa"/>
            <w:textDirection w:val="lrTb"/>
            <w:noWrap w:val="false"/>
          </w:tcPr>
          <w:p>
            <w:pPr>
              <w:ind w:right="33" w:firstLine="0"/>
              <w:spacing w:line="240" w:lineRule="auto"/>
              <w:widowControl w:val="off"/>
              <w:rPr>
                <w:rFonts w:ascii="Times New Roman" w:hAnsi="Times New Roman"/>
                <w:sz w:val="24"/>
                <w:szCs w:val="22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Ответственный секретарь Закупочной комиссии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(без права голоса):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ind w:right="34" w:firstLine="0"/>
              <w:jc w:val="center"/>
              <w:spacing w:line="240" w:lineRule="auto"/>
              <w:widowControl w:val="off"/>
              <w:rPr>
                <w:rFonts w:ascii="Times New Roman" w:hAnsi="Times New Roman"/>
                <w:sz w:val="24"/>
                <w:szCs w:val="22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Дудин М. С.</w:t>
            </w:r>
            <w:r>
              <w:rPr>
                <w:rFonts w:ascii="Times New Roman" w:hAnsi="Times New Roman"/>
                <w:sz w:val="24"/>
                <w:szCs w:val="22"/>
                <w:lang w:val="en-US" w:eastAsia="ru-RU"/>
              </w:rPr>
            </w:r>
            <w:r>
              <w:rPr>
                <w:rFonts w:ascii="Times New Roman" w:hAnsi="Times New Roman"/>
                <w:sz w:val="24"/>
                <w:szCs w:val="22"/>
                <w:lang w:val="en-US" w:eastAsia="ru-RU"/>
              </w:rPr>
            </w:r>
          </w:p>
        </w:tc>
        <w:tc>
          <w:tcPr>
            <w:tcW w:w="4507" w:type="dxa"/>
            <w:textDirection w:val="lrTb"/>
            <w:noWrap w:val="false"/>
          </w:tcPr>
          <w:p>
            <w:pPr>
              <w:ind w:right="34" w:firstLine="0"/>
              <w:spacing w:line="240" w:lineRule="auto"/>
              <w:widowControl w:val="off"/>
              <w:rPr>
                <w:rFonts w:ascii="Times New Roman" w:hAnsi="Times New Roman"/>
                <w:sz w:val="24"/>
                <w:szCs w:val="22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Заместитель начальника 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С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  <w:t xml:space="preserve">лужбы закупок МЭС Востока</w:t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  <w:r>
              <w:rPr>
                <w:rFonts w:ascii="Times New Roman" w:hAnsi="Times New Roman"/>
                <w:sz w:val="24"/>
                <w:szCs w:val="22"/>
                <w:lang w:eastAsia="ru-RU"/>
              </w:rPr>
            </w:r>
          </w:p>
        </w:tc>
      </w:tr>
    </w:tbl>
    <w:p>
      <w:pPr>
        <w:ind w:firstLine="0"/>
        <w:rPr>
          <w:rFonts w:ascii="Times New Roman" w:hAnsi="Times New Roman"/>
          <w:sz w:val="10"/>
          <w:szCs w:val="24"/>
        </w:rPr>
      </w:pPr>
      <w:r>
        <w:rPr>
          <w:rFonts w:ascii="Times New Roman" w:hAnsi="Times New Roman"/>
          <w:sz w:val="10"/>
          <w:szCs w:val="24"/>
        </w:rPr>
      </w:r>
      <w:r>
        <w:rPr>
          <w:rFonts w:ascii="Times New Roman" w:hAnsi="Times New Roman"/>
          <w:sz w:val="10"/>
          <w:szCs w:val="24"/>
        </w:rPr>
      </w:r>
      <w:r>
        <w:rPr>
          <w:rFonts w:ascii="Times New Roman" w:hAnsi="Times New Roman"/>
          <w:sz w:val="10"/>
          <w:szCs w:val="24"/>
        </w:rPr>
      </w:r>
    </w:p>
    <w:sectPr>
      <w:footnotePr/>
      <w:endnotePr/>
      <w:type w:val="nextPage"/>
      <w:pgSz w:w="11906" w:h="16838" w:orient="portrait"/>
      <w:pgMar w:top="708" w:right="709" w:bottom="964" w:left="1429" w:header="397" w:footer="28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Verdana">
    <w:panose1 w:val="020B0604030504040204"/>
  </w:font>
  <w:font w:name="Tahoma">
    <w:panose1 w:val="020B0604030504040204"/>
  </w:font>
  <w:font w:name="Cambria">
    <w:panose1 w:val="02040503050406030204"/>
  </w:font>
  <w:font w:name="Courier New">
    <w:panose1 w:val="02070309020205020404"/>
  </w:font>
  <w:font w:name="Trebuchet MS">
    <w:panose1 w:val="020B0603020202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7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49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1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3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5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7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09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1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32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567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567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7">
    <w:multiLevelType w:val="hybridMultilevel"/>
    <w:lvl w:ilvl="0">
      <w:start w:val="2"/>
      <w:numFmt w:val="upperRoman"/>
      <w:isLgl w:val="false"/>
      <w:suff w:val="tab"/>
      <w:lvlText w:val="%1."/>
      <w:lvlJc w:val="left"/>
      <w:pPr>
        <w:ind w:left="360" w:hanging="360"/>
        <w:tabs>
          <w:tab w:val="num" w:pos="-360" w:leader="none"/>
        </w:tabs>
      </w:pPr>
      <w:rPr>
        <w:rFonts w:hint="default"/>
        <w:b/>
        <w:color w:val="000000"/>
        <w:sz w:val="24"/>
        <w:szCs w:val="24"/>
      </w:rPr>
    </w:lvl>
    <w:lvl w:ilvl="1">
      <w:start w:val="2"/>
      <w:numFmt w:val="upperRoman"/>
      <w:isLgl w:val="false"/>
      <w:suff w:val="tab"/>
      <w:lvlText w:val="%2."/>
      <w:lvlJc w:val="right"/>
      <w:pPr>
        <w:ind w:left="36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6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1646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366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726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44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806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526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886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606" w:hanging="180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567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1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900" w:hanging="360"/>
      </w:pPr>
      <w:rPr>
        <w:rFonts w:hint="default"/>
        <w:b/>
        <w:color w:val="00000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080" w:hanging="360"/>
        <w:tabs>
          <w:tab w:val="num" w:pos="1080" w:leader="none"/>
        </w:tabs>
      </w:pPr>
      <w:rPr>
        <w:rFonts w:hint="default" w:ascii="Wingdings" w:hAnsi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  <w:tabs>
          <w:tab w:val="num" w:pos="180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  <w:tabs>
          <w:tab w:val="num" w:pos="252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  <w:tabs>
          <w:tab w:val="num" w:pos="324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  <w:tabs>
          <w:tab w:val="num" w:pos="396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  <w:tabs>
          <w:tab w:val="num" w:pos="468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  <w:tabs>
          <w:tab w:val="num" w:pos="540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  <w:tabs>
          <w:tab w:val="num" w:pos="612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  <w:tabs>
          <w:tab w:val="num" w:pos="6840" w:leader="none"/>
        </w:tabs>
      </w:pPr>
      <w:rPr>
        <w:rFonts w:hint="default" w:ascii="Wingdings" w:hAnsi="Wingdings" w:cs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2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6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1646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366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726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44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806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526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886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606" w:hanging="1800"/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6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1646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366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726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44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806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526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886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606" w:hanging="1800"/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6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1646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366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726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44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806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4526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886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606" w:hanging="180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13"/>
  </w:num>
  <w:num w:numId="5">
    <w:abstractNumId w:val="2"/>
  </w:num>
  <w:num w:numId="6">
    <w:abstractNumId w:val="3"/>
  </w:num>
  <w:num w:numId="7">
    <w:abstractNumId w:val="11"/>
  </w:num>
  <w:num w:numId="8">
    <w:abstractNumId w:val="6"/>
  </w:num>
  <w:num w:numId="9">
    <w:abstractNumId w:val="7"/>
  </w:num>
  <w:num w:numId="10">
    <w:abstractNumId w:val="0"/>
  </w:num>
  <w:num w:numId="11">
    <w:abstractNumId w:val="10"/>
  </w:num>
  <w:num w:numId="12">
    <w:abstractNumId w:val="12"/>
  </w:num>
  <w:num w:numId="13">
    <w:abstractNumId w:val="8"/>
  </w:num>
  <w:num w:numId="14">
    <w:abstractNumId w:val="4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8">
    <w:name w:val="Heading 1 Char"/>
    <w:basedOn w:val="883"/>
    <w:link w:val="882"/>
    <w:uiPriority w:val="9"/>
    <w:rPr>
      <w:rFonts w:ascii="Arial" w:hAnsi="Arial" w:eastAsia="Arial" w:cs="Arial"/>
      <w:sz w:val="40"/>
      <w:szCs w:val="40"/>
    </w:rPr>
  </w:style>
  <w:style w:type="paragraph" w:styleId="709">
    <w:name w:val="Heading 2"/>
    <w:basedOn w:val="881"/>
    <w:next w:val="881"/>
    <w:link w:val="71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10">
    <w:name w:val="Heading 2 Char"/>
    <w:basedOn w:val="883"/>
    <w:link w:val="709"/>
    <w:uiPriority w:val="9"/>
    <w:rPr>
      <w:rFonts w:ascii="Arial" w:hAnsi="Arial" w:eastAsia="Arial" w:cs="Arial"/>
      <w:sz w:val="34"/>
    </w:rPr>
  </w:style>
  <w:style w:type="paragraph" w:styleId="711">
    <w:name w:val="Heading 3"/>
    <w:basedOn w:val="881"/>
    <w:next w:val="881"/>
    <w:link w:val="71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12">
    <w:name w:val="Heading 3 Char"/>
    <w:basedOn w:val="883"/>
    <w:link w:val="711"/>
    <w:uiPriority w:val="9"/>
    <w:rPr>
      <w:rFonts w:ascii="Arial" w:hAnsi="Arial" w:eastAsia="Arial" w:cs="Arial"/>
      <w:sz w:val="30"/>
      <w:szCs w:val="30"/>
    </w:rPr>
  </w:style>
  <w:style w:type="paragraph" w:styleId="713">
    <w:name w:val="Heading 4"/>
    <w:basedOn w:val="881"/>
    <w:next w:val="881"/>
    <w:link w:val="71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4">
    <w:name w:val="Heading 4 Char"/>
    <w:basedOn w:val="883"/>
    <w:link w:val="713"/>
    <w:uiPriority w:val="9"/>
    <w:rPr>
      <w:rFonts w:ascii="Arial" w:hAnsi="Arial" w:eastAsia="Arial" w:cs="Arial"/>
      <w:b/>
      <w:bCs/>
      <w:sz w:val="26"/>
      <w:szCs w:val="26"/>
    </w:rPr>
  </w:style>
  <w:style w:type="paragraph" w:styleId="715">
    <w:name w:val="Heading 5"/>
    <w:basedOn w:val="881"/>
    <w:next w:val="881"/>
    <w:link w:val="71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6">
    <w:name w:val="Heading 5 Char"/>
    <w:basedOn w:val="883"/>
    <w:link w:val="715"/>
    <w:uiPriority w:val="9"/>
    <w:rPr>
      <w:rFonts w:ascii="Arial" w:hAnsi="Arial" w:eastAsia="Arial" w:cs="Arial"/>
      <w:b/>
      <w:bCs/>
      <w:sz w:val="24"/>
      <w:szCs w:val="24"/>
    </w:rPr>
  </w:style>
  <w:style w:type="paragraph" w:styleId="717">
    <w:name w:val="Heading 6"/>
    <w:basedOn w:val="881"/>
    <w:next w:val="881"/>
    <w:link w:val="71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8">
    <w:name w:val="Heading 6 Char"/>
    <w:basedOn w:val="883"/>
    <w:link w:val="717"/>
    <w:uiPriority w:val="9"/>
    <w:rPr>
      <w:rFonts w:ascii="Arial" w:hAnsi="Arial" w:eastAsia="Arial" w:cs="Arial"/>
      <w:b/>
      <w:bCs/>
      <w:sz w:val="22"/>
      <w:szCs w:val="22"/>
    </w:rPr>
  </w:style>
  <w:style w:type="paragraph" w:styleId="719">
    <w:name w:val="Heading 7"/>
    <w:basedOn w:val="881"/>
    <w:next w:val="881"/>
    <w:link w:val="72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0">
    <w:name w:val="Heading 7 Char"/>
    <w:basedOn w:val="883"/>
    <w:link w:val="71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21">
    <w:name w:val="Heading 8"/>
    <w:basedOn w:val="881"/>
    <w:next w:val="881"/>
    <w:link w:val="72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2">
    <w:name w:val="Heading 8 Char"/>
    <w:basedOn w:val="883"/>
    <w:link w:val="721"/>
    <w:uiPriority w:val="9"/>
    <w:rPr>
      <w:rFonts w:ascii="Arial" w:hAnsi="Arial" w:eastAsia="Arial" w:cs="Arial"/>
      <w:i/>
      <w:iCs/>
      <w:sz w:val="22"/>
      <w:szCs w:val="22"/>
    </w:rPr>
  </w:style>
  <w:style w:type="paragraph" w:styleId="723">
    <w:name w:val="Heading 9"/>
    <w:basedOn w:val="881"/>
    <w:next w:val="881"/>
    <w:link w:val="72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4">
    <w:name w:val="Heading 9 Char"/>
    <w:basedOn w:val="883"/>
    <w:link w:val="723"/>
    <w:uiPriority w:val="9"/>
    <w:rPr>
      <w:rFonts w:ascii="Arial" w:hAnsi="Arial" w:eastAsia="Arial" w:cs="Arial"/>
      <w:i/>
      <w:iCs/>
      <w:sz w:val="21"/>
      <w:szCs w:val="21"/>
    </w:rPr>
  </w:style>
  <w:style w:type="paragraph" w:styleId="725">
    <w:name w:val="No Spacing"/>
    <w:uiPriority w:val="1"/>
    <w:qFormat/>
    <w:pPr>
      <w:spacing w:before="0" w:after="0" w:line="240" w:lineRule="auto"/>
    </w:pPr>
  </w:style>
  <w:style w:type="paragraph" w:styleId="726">
    <w:name w:val="Title"/>
    <w:basedOn w:val="881"/>
    <w:next w:val="881"/>
    <w:link w:val="72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7">
    <w:name w:val="Title Char"/>
    <w:basedOn w:val="883"/>
    <w:link w:val="726"/>
    <w:uiPriority w:val="10"/>
    <w:rPr>
      <w:sz w:val="48"/>
      <w:szCs w:val="48"/>
    </w:rPr>
  </w:style>
  <w:style w:type="paragraph" w:styleId="728">
    <w:name w:val="Subtitle"/>
    <w:basedOn w:val="881"/>
    <w:next w:val="881"/>
    <w:link w:val="729"/>
    <w:uiPriority w:val="11"/>
    <w:qFormat/>
    <w:pPr>
      <w:spacing w:before="200" w:after="200"/>
    </w:pPr>
    <w:rPr>
      <w:sz w:val="24"/>
      <w:szCs w:val="24"/>
    </w:rPr>
  </w:style>
  <w:style w:type="character" w:styleId="729">
    <w:name w:val="Subtitle Char"/>
    <w:basedOn w:val="883"/>
    <w:link w:val="728"/>
    <w:uiPriority w:val="11"/>
    <w:rPr>
      <w:sz w:val="24"/>
      <w:szCs w:val="24"/>
    </w:rPr>
  </w:style>
  <w:style w:type="paragraph" w:styleId="730">
    <w:name w:val="Quote"/>
    <w:basedOn w:val="881"/>
    <w:next w:val="881"/>
    <w:link w:val="731"/>
    <w:uiPriority w:val="29"/>
    <w:qFormat/>
    <w:pPr>
      <w:ind w:left="720" w:right="720"/>
    </w:pPr>
    <w:rPr>
      <w:i/>
    </w:rPr>
  </w:style>
  <w:style w:type="character" w:styleId="731">
    <w:name w:val="Quote Char"/>
    <w:link w:val="730"/>
    <w:uiPriority w:val="29"/>
    <w:rPr>
      <w:i/>
    </w:rPr>
  </w:style>
  <w:style w:type="paragraph" w:styleId="732">
    <w:name w:val="Intense Quote"/>
    <w:basedOn w:val="881"/>
    <w:next w:val="881"/>
    <w:link w:val="73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3">
    <w:name w:val="Intense Quote Char"/>
    <w:link w:val="732"/>
    <w:uiPriority w:val="30"/>
    <w:rPr>
      <w:i/>
    </w:rPr>
  </w:style>
  <w:style w:type="character" w:styleId="734">
    <w:name w:val="Header Char"/>
    <w:basedOn w:val="883"/>
    <w:link w:val="893"/>
    <w:uiPriority w:val="99"/>
  </w:style>
  <w:style w:type="character" w:styleId="735">
    <w:name w:val="Footer Char"/>
    <w:basedOn w:val="883"/>
    <w:link w:val="895"/>
    <w:uiPriority w:val="99"/>
  </w:style>
  <w:style w:type="paragraph" w:styleId="736">
    <w:name w:val="Caption"/>
    <w:basedOn w:val="881"/>
    <w:next w:val="881"/>
    <w:link w:val="7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7">
    <w:name w:val="Caption Char"/>
    <w:basedOn w:val="883"/>
    <w:link w:val="736"/>
    <w:uiPriority w:val="35"/>
    <w:rPr>
      <w:b/>
      <w:bCs/>
      <w:color w:val="4f81bd" w:themeColor="accent1"/>
      <w:sz w:val="18"/>
      <w:szCs w:val="18"/>
    </w:rPr>
  </w:style>
  <w:style w:type="table" w:styleId="738">
    <w:name w:val="Table Grid"/>
    <w:basedOn w:val="88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9">
    <w:name w:val="Table Grid Light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0">
    <w:name w:val="Plain Table 1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>
    <w:name w:val="Plain Table 2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2">
    <w:name w:val="Plain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3">
    <w:name w:val="Plain Table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Plain Table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5">
    <w:name w:val="Grid Table 1 Light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4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7">
    <w:name w:val="Grid Table 4 - Accent 1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8">
    <w:name w:val="Grid Table 4 - Accent 2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9">
    <w:name w:val="Grid Table 4 - Accent 3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0">
    <w:name w:val="Grid Table 4 - Accent 4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1">
    <w:name w:val="Grid Table 4 - Accent 5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2">
    <w:name w:val="Grid Table 4 - Accent 6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3">
    <w:name w:val="Grid Table 5 Dark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4">
    <w:name w:val="Grid Table 5 Dark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7">
    <w:name w:val="Grid Table 5 Dark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8">
    <w:name w:val="Grid Table 5 Dark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1">
    <w:name w:val="Grid Table 6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2">
    <w:name w:val="Grid Table 6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3">
    <w:name w:val="Grid Table 6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4">
    <w:name w:val="Grid Table 6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5">
    <w:name w:val="Grid Table 6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6">
    <w:name w:val="Grid Table 6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7">
    <w:name w:val="Grid Table 7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2">
    <w:name w:val="List Table 2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3">
    <w:name w:val="List Table 2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4">
    <w:name w:val="List Table 2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5">
    <w:name w:val="List Table 2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6">
    <w:name w:val="List Table 2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7">
    <w:name w:val="List Table 2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8">
    <w:name w:val="List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5 Dark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6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0">
    <w:name w:val="List Table 6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1">
    <w:name w:val="List Table 6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2">
    <w:name w:val="List Table 6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3">
    <w:name w:val="List Table 6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4">
    <w:name w:val="List Table 6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5">
    <w:name w:val="List Table 6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6">
    <w:name w:val="List Table 7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7">
    <w:name w:val="List Table 7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8">
    <w:name w:val="List Table 7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9">
    <w:name w:val="List Table 7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40">
    <w:name w:val="List Table 7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41">
    <w:name w:val="List Table 7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42">
    <w:name w:val="List Table 7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3">
    <w:name w:val="Lined - Accent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4">
    <w:name w:val="Lined - Accent 1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5">
    <w:name w:val="Lined - Accent 2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6">
    <w:name w:val="Lined - Accent 3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7">
    <w:name w:val="Lined - Accent 4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8">
    <w:name w:val="Lined - Accent 5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9">
    <w:name w:val="Lined - Accent 6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0">
    <w:name w:val="Bordered &amp; Lined - Accent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1">
    <w:name w:val="Bordered &amp; Lined - Accent 1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2">
    <w:name w:val="Bordered &amp; Lined - Accent 2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3">
    <w:name w:val="Bordered &amp; Lined - Accent 3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4">
    <w:name w:val="Bordered &amp; Lined - Accent 4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5">
    <w:name w:val="Bordered &amp; Lined - Accent 5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6">
    <w:name w:val="Bordered &amp; Lined - Accent 6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7">
    <w:name w:val="Bordered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8">
    <w:name w:val="Bordered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9">
    <w:name w:val="Bordered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0">
    <w:name w:val="Bordered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1">
    <w:name w:val="Bordered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2">
    <w:name w:val="Bordered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3">
    <w:name w:val="Bordered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64">
    <w:name w:val="footnote text"/>
    <w:basedOn w:val="881"/>
    <w:link w:val="865"/>
    <w:uiPriority w:val="99"/>
    <w:semiHidden/>
    <w:unhideWhenUsed/>
    <w:pPr>
      <w:spacing w:after="40" w:line="240" w:lineRule="auto"/>
    </w:pPr>
    <w:rPr>
      <w:sz w:val="18"/>
    </w:rPr>
  </w:style>
  <w:style w:type="character" w:styleId="865">
    <w:name w:val="Footnote Text Char"/>
    <w:link w:val="864"/>
    <w:uiPriority w:val="99"/>
    <w:rPr>
      <w:sz w:val="18"/>
    </w:rPr>
  </w:style>
  <w:style w:type="character" w:styleId="866">
    <w:name w:val="footnote reference"/>
    <w:basedOn w:val="883"/>
    <w:uiPriority w:val="99"/>
    <w:unhideWhenUsed/>
    <w:rPr>
      <w:vertAlign w:val="superscript"/>
    </w:rPr>
  </w:style>
  <w:style w:type="paragraph" w:styleId="867">
    <w:name w:val="endnote text"/>
    <w:basedOn w:val="881"/>
    <w:link w:val="868"/>
    <w:uiPriority w:val="99"/>
    <w:semiHidden/>
    <w:unhideWhenUsed/>
    <w:pPr>
      <w:spacing w:after="0" w:line="240" w:lineRule="auto"/>
    </w:pPr>
    <w:rPr>
      <w:sz w:val="20"/>
    </w:rPr>
  </w:style>
  <w:style w:type="character" w:styleId="868">
    <w:name w:val="Endnote Text Char"/>
    <w:link w:val="867"/>
    <w:uiPriority w:val="99"/>
    <w:rPr>
      <w:sz w:val="20"/>
    </w:rPr>
  </w:style>
  <w:style w:type="character" w:styleId="869">
    <w:name w:val="endnote reference"/>
    <w:basedOn w:val="883"/>
    <w:uiPriority w:val="99"/>
    <w:semiHidden/>
    <w:unhideWhenUsed/>
    <w:rPr>
      <w:vertAlign w:val="superscript"/>
    </w:rPr>
  </w:style>
  <w:style w:type="paragraph" w:styleId="870">
    <w:name w:val="toc 1"/>
    <w:basedOn w:val="881"/>
    <w:next w:val="881"/>
    <w:uiPriority w:val="39"/>
    <w:unhideWhenUsed/>
    <w:pPr>
      <w:ind w:left="0" w:right="0" w:firstLine="0"/>
      <w:spacing w:after="57"/>
    </w:pPr>
  </w:style>
  <w:style w:type="paragraph" w:styleId="871">
    <w:name w:val="toc 2"/>
    <w:basedOn w:val="881"/>
    <w:next w:val="881"/>
    <w:uiPriority w:val="39"/>
    <w:unhideWhenUsed/>
    <w:pPr>
      <w:ind w:left="283" w:right="0" w:firstLine="0"/>
      <w:spacing w:after="57"/>
    </w:pPr>
  </w:style>
  <w:style w:type="paragraph" w:styleId="872">
    <w:name w:val="toc 3"/>
    <w:basedOn w:val="881"/>
    <w:next w:val="881"/>
    <w:uiPriority w:val="39"/>
    <w:unhideWhenUsed/>
    <w:pPr>
      <w:ind w:left="567" w:right="0" w:firstLine="0"/>
      <w:spacing w:after="57"/>
    </w:pPr>
  </w:style>
  <w:style w:type="paragraph" w:styleId="873">
    <w:name w:val="toc 4"/>
    <w:basedOn w:val="881"/>
    <w:next w:val="881"/>
    <w:uiPriority w:val="39"/>
    <w:unhideWhenUsed/>
    <w:pPr>
      <w:ind w:left="850" w:right="0" w:firstLine="0"/>
      <w:spacing w:after="57"/>
    </w:pPr>
  </w:style>
  <w:style w:type="paragraph" w:styleId="874">
    <w:name w:val="toc 5"/>
    <w:basedOn w:val="881"/>
    <w:next w:val="881"/>
    <w:uiPriority w:val="39"/>
    <w:unhideWhenUsed/>
    <w:pPr>
      <w:ind w:left="1134" w:right="0" w:firstLine="0"/>
      <w:spacing w:after="57"/>
    </w:pPr>
  </w:style>
  <w:style w:type="paragraph" w:styleId="875">
    <w:name w:val="toc 6"/>
    <w:basedOn w:val="881"/>
    <w:next w:val="881"/>
    <w:uiPriority w:val="39"/>
    <w:unhideWhenUsed/>
    <w:pPr>
      <w:ind w:left="1417" w:right="0" w:firstLine="0"/>
      <w:spacing w:after="57"/>
    </w:pPr>
  </w:style>
  <w:style w:type="paragraph" w:styleId="876">
    <w:name w:val="toc 7"/>
    <w:basedOn w:val="881"/>
    <w:next w:val="881"/>
    <w:uiPriority w:val="39"/>
    <w:unhideWhenUsed/>
    <w:pPr>
      <w:ind w:left="1701" w:right="0" w:firstLine="0"/>
      <w:spacing w:after="57"/>
    </w:pPr>
  </w:style>
  <w:style w:type="paragraph" w:styleId="877">
    <w:name w:val="toc 8"/>
    <w:basedOn w:val="881"/>
    <w:next w:val="881"/>
    <w:uiPriority w:val="39"/>
    <w:unhideWhenUsed/>
    <w:pPr>
      <w:ind w:left="1984" w:right="0" w:firstLine="0"/>
      <w:spacing w:after="57"/>
    </w:pPr>
  </w:style>
  <w:style w:type="paragraph" w:styleId="878">
    <w:name w:val="toc 9"/>
    <w:basedOn w:val="881"/>
    <w:next w:val="881"/>
    <w:uiPriority w:val="39"/>
    <w:unhideWhenUsed/>
    <w:pPr>
      <w:ind w:left="2268" w:right="0" w:firstLine="0"/>
      <w:spacing w:after="57"/>
    </w:pPr>
  </w:style>
  <w:style w:type="paragraph" w:styleId="879">
    <w:name w:val="TOC Heading"/>
    <w:uiPriority w:val="39"/>
    <w:unhideWhenUsed/>
  </w:style>
  <w:style w:type="paragraph" w:styleId="880">
    <w:name w:val="table of figures"/>
    <w:basedOn w:val="881"/>
    <w:next w:val="881"/>
    <w:uiPriority w:val="99"/>
    <w:unhideWhenUsed/>
    <w:pPr>
      <w:spacing w:after="0" w:afterAutospacing="0"/>
    </w:pPr>
  </w:style>
  <w:style w:type="paragraph" w:styleId="881" w:default="1">
    <w:name w:val="Normal"/>
    <w:qFormat/>
    <w:pPr>
      <w:ind w:firstLine="709"/>
      <w:jc w:val="both"/>
      <w:spacing w:line="360" w:lineRule="auto"/>
    </w:pPr>
    <w:rPr>
      <w:rFonts w:ascii="Trebuchet MS" w:hAnsi="Trebuchet MS" w:eastAsia="Times New Roman"/>
      <w:sz w:val="22"/>
      <w:lang w:eastAsia="en-US"/>
    </w:rPr>
  </w:style>
  <w:style w:type="paragraph" w:styleId="882">
    <w:name w:val="Heading 1"/>
    <w:basedOn w:val="881"/>
    <w:next w:val="881"/>
    <w:link w:val="892"/>
    <w:uiPriority w:val="9"/>
    <w:qFormat/>
    <w:pPr>
      <w:keepLines/>
      <w:keepNext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styleId="883" w:default="1">
    <w:name w:val="Default Paragraph Font"/>
    <w:uiPriority w:val="1"/>
    <w:semiHidden/>
    <w:unhideWhenUsed/>
  </w:style>
  <w:style w:type="table" w:styleId="8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5" w:default="1">
    <w:name w:val="No List"/>
    <w:uiPriority w:val="99"/>
    <w:semiHidden/>
    <w:unhideWhenUsed/>
  </w:style>
  <w:style w:type="paragraph" w:styleId="886">
    <w:name w:val="List Paragraph"/>
    <w:basedOn w:val="881"/>
    <w:link w:val="887"/>
    <w:uiPriority w:val="34"/>
    <w:unhideWhenUsed/>
    <w:qFormat/>
    <w:pPr>
      <w:contextualSpacing/>
      <w:ind w:left="720"/>
    </w:pPr>
  </w:style>
  <w:style w:type="character" w:styleId="887" w:customStyle="1">
    <w:name w:val="Абзац списка Знак"/>
    <w:link w:val="886"/>
    <w:uiPriority w:val="34"/>
    <w:rPr>
      <w:rFonts w:ascii="Trebuchet MS" w:hAnsi="Trebuchet MS" w:eastAsia="Times New Roman" w:cs="Times New Roman"/>
      <w:szCs w:val="20"/>
    </w:rPr>
  </w:style>
  <w:style w:type="paragraph" w:styleId="888" w:customStyle="1">
    <w:name w:val="Заголовок первого уровня"/>
    <w:basedOn w:val="882"/>
    <w:link w:val="889"/>
    <w:qFormat/>
    <w:pPr>
      <w:ind w:firstLine="0"/>
      <w:jc w:val="center"/>
      <w:spacing w:before="360" w:after="120" w:line="240" w:lineRule="auto"/>
    </w:pPr>
    <w:rPr>
      <w:rFonts w:ascii="Trebuchet MS" w:hAnsi="Trebuchet MS"/>
      <w:bCs w:val="0"/>
      <w:caps/>
      <w:color w:val="auto"/>
      <w:sz w:val="22"/>
      <w:szCs w:val="22"/>
    </w:rPr>
  </w:style>
  <w:style w:type="character" w:styleId="889" w:customStyle="1">
    <w:name w:val="Заголовок первого уровня Знак"/>
    <w:link w:val="888"/>
    <w:rPr>
      <w:rFonts w:ascii="Trebuchet MS" w:hAnsi="Trebuchet MS" w:eastAsia="Times New Roman" w:cs="Times New Roman"/>
      <w:b/>
      <w:caps/>
    </w:rPr>
  </w:style>
  <w:style w:type="paragraph" w:styleId="890">
    <w:name w:val="Body Text Indent"/>
    <w:basedOn w:val="881"/>
    <w:link w:val="891"/>
    <w:uiPriority w:val="99"/>
    <w:unhideWhenUsed/>
    <w:pPr>
      <w:ind w:left="283"/>
      <w:spacing w:after="120"/>
    </w:pPr>
  </w:style>
  <w:style w:type="character" w:styleId="891" w:customStyle="1">
    <w:name w:val="Основной текст с отступом Знак"/>
    <w:link w:val="890"/>
    <w:uiPriority w:val="99"/>
    <w:rPr>
      <w:rFonts w:ascii="Trebuchet MS" w:hAnsi="Trebuchet MS" w:eastAsia="Times New Roman" w:cs="Times New Roman"/>
      <w:szCs w:val="20"/>
    </w:rPr>
  </w:style>
  <w:style w:type="character" w:styleId="892" w:customStyle="1">
    <w:name w:val="Заголовок 1 Знак"/>
    <w:link w:val="882"/>
    <w:uiPriority w:val="9"/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893">
    <w:name w:val="Header"/>
    <w:basedOn w:val="881"/>
    <w:link w:val="894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894" w:customStyle="1">
    <w:name w:val="Верхний колонтитул Знак"/>
    <w:link w:val="893"/>
    <w:uiPriority w:val="99"/>
    <w:rPr>
      <w:rFonts w:ascii="Trebuchet MS" w:hAnsi="Trebuchet MS" w:eastAsia="Times New Roman" w:cs="Times New Roman"/>
      <w:szCs w:val="20"/>
    </w:rPr>
  </w:style>
  <w:style w:type="paragraph" w:styleId="895">
    <w:name w:val="Footer"/>
    <w:basedOn w:val="881"/>
    <w:link w:val="896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896" w:customStyle="1">
    <w:name w:val="Нижний колонтитул Знак"/>
    <w:link w:val="895"/>
    <w:uiPriority w:val="99"/>
    <w:rPr>
      <w:rFonts w:ascii="Trebuchet MS" w:hAnsi="Trebuchet MS" w:eastAsia="Times New Roman" w:cs="Times New Roman"/>
      <w:szCs w:val="20"/>
    </w:rPr>
  </w:style>
  <w:style w:type="paragraph" w:styleId="897">
    <w:name w:val="Balloon Text"/>
    <w:basedOn w:val="881"/>
    <w:link w:val="898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styleId="898" w:customStyle="1">
    <w:name w:val="Текст выноски Знак"/>
    <w:link w:val="897"/>
    <w:uiPriority w:val="99"/>
    <w:semiHidden/>
    <w:rPr>
      <w:rFonts w:ascii="Tahoma" w:hAnsi="Tahoma" w:eastAsia="Times New Roman" w:cs="Tahoma"/>
      <w:sz w:val="16"/>
      <w:szCs w:val="16"/>
    </w:rPr>
  </w:style>
  <w:style w:type="character" w:styleId="899" w:customStyle="1">
    <w:name w:val="webofficeattributevalue1"/>
    <w:rPr>
      <w:rFonts w:hint="default" w:ascii="Verdana" w:hAnsi="Verdana"/>
      <w:strike w:val="0"/>
      <w:color w:val="000000"/>
      <w:sz w:val="18"/>
      <w:szCs w:val="18"/>
      <w:u w:val="none"/>
    </w:rPr>
  </w:style>
  <w:style w:type="paragraph" w:styleId="900">
    <w:name w:val="Body Text 3"/>
    <w:basedOn w:val="881"/>
    <w:link w:val="901"/>
    <w:uiPriority w:val="99"/>
    <w:semiHidden/>
    <w:unhideWhenUsed/>
    <w:pPr>
      <w:spacing w:after="120"/>
    </w:pPr>
    <w:rPr>
      <w:sz w:val="16"/>
      <w:szCs w:val="16"/>
    </w:rPr>
  </w:style>
  <w:style w:type="character" w:styleId="901" w:customStyle="1">
    <w:name w:val="Основной текст 3 Знак"/>
    <w:link w:val="900"/>
    <w:uiPriority w:val="99"/>
    <w:semiHidden/>
    <w:rPr>
      <w:rFonts w:ascii="Trebuchet MS" w:hAnsi="Trebuchet MS" w:eastAsia="Times New Roman" w:cs="Times New Roman"/>
      <w:sz w:val="16"/>
      <w:szCs w:val="16"/>
    </w:rPr>
  </w:style>
  <w:style w:type="character" w:styleId="902">
    <w:name w:val="Hyperlink"/>
    <w:rPr>
      <w:color w:val="0000ff"/>
      <w:u w:val="single"/>
    </w:rPr>
  </w:style>
  <w:style w:type="paragraph" w:styleId="903" w:customStyle="1">
    <w:name w:val="Таблица текст"/>
    <w:basedOn w:val="881"/>
    <w:uiPriority w:val="99"/>
    <w:pPr>
      <w:ind w:left="57" w:right="57" w:firstLine="0"/>
      <w:jc w:val="left"/>
      <w:spacing w:before="40" w:after="40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904" w:customStyle="1">
    <w:name w:val="Название1"/>
    <w:basedOn w:val="881"/>
    <w:link w:val="905"/>
    <w:uiPriority w:val="10"/>
    <w:qFormat/>
    <w:pPr>
      <w:ind w:firstLine="0"/>
      <w:jc w:val="center"/>
      <w:spacing w:line="240" w:lineRule="auto"/>
    </w:pPr>
    <w:rPr>
      <w:rFonts w:ascii="Times New Roman" w:hAnsi="Times New Roman"/>
      <w:b/>
      <w:lang w:eastAsia="ru-RU"/>
    </w:rPr>
  </w:style>
  <w:style w:type="character" w:styleId="905" w:customStyle="1">
    <w:name w:val="Название Знак"/>
    <w:link w:val="904"/>
    <w:uiPriority w:val="10"/>
    <w:rPr>
      <w:rFonts w:ascii="Times New Roman" w:hAnsi="Times New Roman" w:eastAsia="Times New Roman"/>
      <w:b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mailto:vk-hq@fskees.ru" TargetMode="External"/><Relationship Id="rId11" Type="http://schemas.openxmlformats.org/officeDocument/2006/relationships/hyperlink" Target="mailto:Mikolenko-KV@fskees.ru" TargetMode="External"/><Relationship Id="rId12" Type="http://schemas.openxmlformats.org/officeDocument/2006/relationships/hyperlink" Target="http://www.zakupki.gov.ru" TargetMode="External"/><Relationship Id="rId13" Type="http://schemas.openxmlformats.org/officeDocument/2006/relationships/hyperlink" Target="http://www.rts-tende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6C873-703E-495C-B494-FA13B245B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Mikolenko-KV</cp:lastModifiedBy>
  <cp:revision>45</cp:revision>
  <dcterms:created xsi:type="dcterms:W3CDTF">2022-11-28T06:26:00Z</dcterms:created>
  <dcterms:modified xsi:type="dcterms:W3CDTF">2025-12-15T05:45:37Z</dcterms:modified>
</cp:coreProperties>
</file>