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</w:rPr>
        <w:t xml:space="preserve">ПРОТОКОЛ №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</w:rPr>
        <w:t xml:space="preserve">/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</w:rPr>
        <w:t xml:space="preserve">9690834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</w:r>
    </w:p>
    <w:p>
      <w:pPr>
        <w:pStyle w:val="803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  <w:highlight w:val="white"/>
        </w:rPr>
        <w:t xml:space="preserve">з</w:t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  <w:highlight w:val="white"/>
        </w:rPr>
        <w:t xml:space="preserve">аочного </w:t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  <w:highlight w:val="white"/>
        </w:rPr>
        <w:t xml:space="preserve">заседания </w:t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  <w:highlight w:val="white"/>
        </w:rPr>
        <w:t xml:space="preserve">Закупочной</w:t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  <w:highlight w:val="white"/>
        </w:rPr>
        <w:t xml:space="preserve"> комиссии</w:t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  <w:highlight w:val="white"/>
        </w:rPr>
        <w:t xml:space="preserve"> по </w:t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  <w:highlight w:val="white"/>
        </w:rPr>
        <w:t xml:space="preserve">подведению итогов</w:t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  <w:highlight w:val="white"/>
        </w:rPr>
        <w:t xml:space="preserve">закупки в электронном магазине на право заключения договора на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yellow"/>
        </w:rPr>
      </w:r>
      <w:r>
        <w:rPr>
          <w:bCs/>
          <w:i w:val="0"/>
          <w:iCs w:val="0"/>
          <w:sz w:val="24"/>
          <w:szCs w:val="24"/>
        </w:rPr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Выполнение работ по ремонту з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pacing w:val="-2"/>
          <w:sz w:val="24"/>
          <w:szCs w:val="24"/>
          <w:lang w:eastAsia="ru-RU"/>
        </w:rPr>
        <w:t xml:space="preserve">даний объектов Новгородской, Псковской и Смоленской ГПС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 для нужд филиала ПАО "Россети" - Новгородское ПМЭС</w:t>
      </w:r>
      <w:r/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yellow"/>
        </w:rPr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highlight w:val="yellow"/>
        </w:rPr>
      </w:r>
    </w:p>
    <w:p>
      <w:pPr>
        <w:ind w:firstLine="0"/>
        <w:jc w:val="center"/>
        <w:rPr>
          <w:bCs w:val="0"/>
          <w:i w:val="0"/>
          <w:highlight w:val="yellow"/>
        </w:rPr>
      </w:pPr>
      <w:r>
        <w:rPr>
          <w:bCs/>
          <w:i w:val="0"/>
          <w:iCs w:val="0"/>
        </w:rPr>
      </w:r>
      <w:r>
        <w:rPr>
          <w:bCs w:val="0"/>
          <w:i w:val="0"/>
          <w:highlight w:val="yellow"/>
        </w:rPr>
      </w:r>
      <w:r>
        <w:rPr>
          <w:bCs w:val="0"/>
          <w:i w:val="0"/>
          <w:highlight w:val="yellow"/>
        </w:rPr>
      </w:r>
    </w:p>
    <w:p>
      <w:pPr>
        <w:ind w:firstLine="0"/>
        <w:jc w:val="center"/>
        <w:rPr>
          <w:bCs/>
          <w:i/>
        </w:rPr>
      </w:pPr>
      <w:r>
        <w:rPr>
          <w:bCs/>
          <w:i/>
        </w:rPr>
      </w:r>
      <w:r>
        <w:rPr>
          <w:bCs/>
          <w:i/>
        </w:rPr>
      </w:r>
      <w:r>
        <w:rPr>
          <w:bCs/>
          <w:i/>
        </w:rPr>
      </w:r>
    </w:p>
    <w:p>
      <w:pPr>
        <w:ind w:firstLine="0"/>
        <w:jc w:val="center"/>
        <w:rPr>
          <w:bCs/>
          <w:i/>
        </w:rPr>
      </w:pPr>
      <w:r>
        <w:rPr>
          <w:bCs/>
          <w:i/>
        </w:rPr>
      </w:r>
      <w:r>
        <w:rPr>
          <w:bCs/>
          <w:i/>
        </w:rPr>
      </w:r>
      <w:r>
        <w:rPr>
          <w:bCs/>
          <w:i/>
        </w:rPr>
      </w:r>
    </w:p>
    <w:tbl>
      <w:tblPr>
        <w:tblW w:w="10161" w:type="dxa"/>
        <w:jc w:val="center"/>
        <w:tblLook w:val="0000" w:firstRow="0" w:lastRow="0" w:firstColumn="0" w:lastColumn="0" w:noHBand="0" w:noVBand="0"/>
      </w:tblPr>
      <w:tblGrid>
        <w:gridCol w:w="5092"/>
        <w:gridCol w:w="5069"/>
      </w:tblGrid>
      <w:tr>
        <w:tblPrEx/>
        <w:trPr>
          <w:jc w:val="center"/>
        </w:trPr>
        <w:tc>
          <w:tcPr>
            <w:tcW w:w="5092" w:type="dxa"/>
            <w:textDirection w:val="lrTb"/>
            <w:noWrap w:val="false"/>
          </w:tcPr>
          <w:p>
            <w:pPr>
              <w:ind w:left="-284" w:right="-286" w:firstLine="0"/>
              <w:widowControl/>
            </w:pPr>
            <w:r>
              <w:rPr>
                <w:bCs/>
                <w:iCs/>
              </w:rPr>
              <w:t xml:space="preserve">г</w:t>
            </w:r>
            <w:r>
              <w:rPr>
                <w:bCs/>
                <w:iCs/>
              </w:rPr>
              <w:t xml:space="preserve">.</w:t>
            </w:r>
            <w:r>
              <w:rPr>
                <w:bCs/>
                <w:iCs/>
              </w:rPr>
              <w:t xml:space="preserve"> </w:t>
            </w:r>
            <w:r>
              <w:rPr>
                <w:bCs/>
                <w:iCs/>
              </w:rPr>
              <w:t xml:space="preserve">г.</w:t>
            </w:r>
            <w:r>
              <w:rPr>
                <w:bCs/>
                <w:iCs/>
              </w:rPr>
              <w:t xml:space="preserve"> </w:t>
            </w:r>
            <w:r>
              <w:rPr>
                <w:bCs/>
                <w:iCs/>
              </w:rPr>
              <w:t xml:space="preserve">Санкт-Петербург</w:t>
            </w:r>
            <w:r/>
          </w:p>
        </w:tc>
        <w:tc>
          <w:tcPr>
            <w:tcW w:w="5069" w:type="dxa"/>
            <w:textDirection w:val="lrTb"/>
            <w:noWrap w:val="false"/>
          </w:tcPr>
          <w:p>
            <w:pPr>
              <w:ind w:right="6"/>
              <w:jc w:val="right"/>
              <w:rPr>
                <w:highlight w:val="white"/>
              </w:rPr>
            </w:pPr>
            <w:r>
              <w:rPr>
                <w:highlight w:val="white"/>
              </w:rPr>
              <w:t xml:space="preserve">15.12</w:t>
            </w:r>
            <w:r>
              <w:rPr>
                <w:highlight w:val="white"/>
              </w:rPr>
              <w:t xml:space="preserve">.202</w:t>
            </w:r>
            <w:r>
              <w:rPr>
                <w:highlight w:val="white"/>
              </w:rPr>
              <w:t xml:space="preserve">5</w:t>
            </w:r>
            <w:r>
              <w:rPr>
                <w:highlight w:val="white"/>
              </w:rPr>
              <w:t xml:space="preserve"> г.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</w:tbl>
    <w:p>
      <w:pPr>
        <w:pStyle w:val="969"/>
        <w:ind w:left="0" w:firstLine="0"/>
        <w:spacing w:after="0" w:line="240" w:lineRule="auto"/>
        <w:tabs>
          <w:tab w:val="left" w:pos="54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9"/>
        <w:ind w:left="0" w:firstLine="0"/>
        <w:spacing w:after="0" w:line="240" w:lineRule="auto"/>
        <w:tabs>
          <w:tab w:val="left" w:pos="54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numPr>
          <w:ilvl w:val="0"/>
          <w:numId w:val="20"/>
        </w:numPr>
        <w:ind w:hanging="1080"/>
        <w:jc w:val="both"/>
        <w:spacing w:line="240" w:lineRule="auto"/>
        <w:rPr>
          <w:b/>
          <w:bCs/>
          <w:caps/>
        </w:rPr>
      </w:pPr>
      <w:r>
        <w:rPr>
          <w:b/>
          <w:bCs/>
          <w:caps/>
        </w:rPr>
        <w:t xml:space="preserve">ВОПРОСЫ ЗАСЕДАНИЯ </w:t>
      </w:r>
      <w:r>
        <w:rPr>
          <w:b/>
          <w:bCs/>
          <w:caps/>
        </w:rPr>
        <w:t xml:space="preserve">ЗАКУПОЧН</w:t>
      </w:r>
      <w:r>
        <w:rPr>
          <w:b/>
          <w:bCs/>
          <w:caps/>
        </w:rPr>
        <w:t xml:space="preserve">ОЙ КОМИССИИ</w:t>
      </w:r>
      <w:r>
        <w:rPr>
          <w:b/>
          <w:bCs/>
          <w:caps/>
        </w:rPr>
        <w:t xml:space="preserve">:</w:t>
      </w:r>
      <w:r>
        <w:rPr>
          <w:b/>
          <w:bCs/>
          <w:caps/>
        </w:rPr>
      </w:r>
      <w:r>
        <w:rPr>
          <w:b/>
          <w:bCs/>
          <w:caps/>
        </w:rPr>
      </w:r>
    </w:p>
    <w:p>
      <w:pPr>
        <w:ind w:left="0" w:right="0" w:firstLine="0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О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соответствии заявки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Участника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№ 1 </w:t>
      </w:r>
      <w:r>
        <w:rPr>
          <w:sz w:val="24"/>
          <w:szCs w:val="24"/>
          <w:highlight w:val="white"/>
        </w:rPr>
      </w:r>
      <w:hyperlink r:id="rId11" w:tooltip="https://msp-shop.rts-tender.ru/company/0e8a412f-c1b2-4c50-9731-fc6145aea9d4/info" w:history="1">
        <w:r>
          <w:rPr>
            <w:rFonts w:ascii="Times New Roman" w:hAnsi="Times New Roman" w:eastAsia="Times New Roman" w:cs="Times New Roman"/>
            <w:b/>
            <w:bCs/>
            <w:i w:val="0"/>
            <w:iCs w:val="0"/>
            <w:color w:val="000000" w:themeColor="text1"/>
            <w:sz w:val="24"/>
            <w:szCs w:val="24"/>
            <w:highlight w:val="white"/>
            <w:lang w:eastAsia="en-US"/>
          </w:rPr>
          <w:t xml:space="preserve">ОБЩЕСТВО С ОГРАНИЧЕННОЙ ОТВЕТСТВЕННОСТЬЮ "НОВОСТРОЙПРОЕКТ ФСК"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ind w:left="0" w:right="0" w:firstLine="0"/>
        <w:jc w:val="both"/>
        <w:rPr>
          <w:rFonts w:ascii="Times New Roman" w:hAnsi="Times New Roman" w:cs="Times New Roman"/>
          <w:b w:val="0"/>
          <w:bCs w:val="0"/>
          <w:i w:val="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требованиям Извещения о проведении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закупки в электронном магазине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b w:val="0"/>
          <w:bCs w:val="0"/>
          <w:i w:val="0"/>
          <w:sz w:val="24"/>
          <w:szCs w:val="24"/>
          <w:highlight w:val="white"/>
        </w:rPr>
      </w:r>
      <w:r>
        <w:rPr>
          <w:rFonts w:ascii="Times New Roman" w:hAnsi="Times New Roman" w:cs="Times New Roman"/>
          <w:b w:val="0"/>
          <w:bCs w:val="0"/>
          <w:i w:val="0"/>
          <w:sz w:val="24"/>
          <w:szCs w:val="24"/>
          <w:highlight w:val="white"/>
        </w:rPr>
      </w:r>
    </w:p>
    <w:p>
      <w:pPr>
        <w:pStyle w:val="803"/>
        <w:ind w:left="0" w:right="0" w:firstLine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2.  О заключении, на основании п. 7.5.3 Единого ст</w:t>
      </w:r>
      <w:bookmarkStart w:id="0" w:name="_GoBack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</w:r>
      <w:bookmarkEnd w:id="0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андарта закупок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Россети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 (Положение о закупке), договора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на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Выполнение работ по ремонту з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pacing w:val="-2"/>
          <w:sz w:val="24"/>
          <w:szCs w:val="24"/>
          <w:highlight w:val="white"/>
          <w:lang w:eastAsia="ru-RU"/>
        </w:rPr>
        <w:t xml:space="preserve">даний объектов Новгородской, Псковской и Смоленской ГПС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 для нужд филиала ПАО "Россети" - Новгородское ПМЭС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highlight w:val="white"/>
        </w:rPr>
      </w:r>
    </w:p>
    <w:p>
      <w:pPr>
        <w:ind w:left="0" w:right="0" w:firstLine="0"/>
        <w:jc w:val="both"/>
        <w:rPr>
          <w:rFonts w:ascii="Times New Roman" w:hAnsi="Times New Roman" w:cs="Times New Roman"/>
          <w:b w:val="0"/>
          <w:bCs w:val="0"/>
          <w:i w:val="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 (далее –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закупка в электронном магазине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white"/>
        </w:rPr>
        <w:t xml:space="preserve">).</w:t>
      </w:r>
      <w:r>
        <w:rPr>
          <w:rFonts w:ascii="Times New Roman" w:hAnsi="Times New Roman" w:cs="Times New Roman"/>
          <w:b w:val="0"/>
          <w:bCs w:val="0"/>
          <w:i w:val="0"/>
          <w:sz w:val="24"/>
          <w:szCs w:val="24"/>
          <w:highlight w:val="white"/>
        </w:rPr>
      </w:r>
      <w:r>
        <w:rPr>
          <w:rFonts w:ascii="Times New Roman" w:hAnsi="Times New Roman" w:cs="Times New Roman"/>
          <w:b w:val="0"/>
          <w:bCs w:val="0"/>
          <w:i w:val="0"/>
          <w:sz w:val="24"/>
          <w:szCs w:val="24"/>
          <w:highlight w:val="white"/>
        </w:rPr>
      </w:r>
    </w:p>
    <w:p>
      <w:pPr>
        <w:pStyle w:val="969"/>
        <w:ind w:left="0" w:firstLine="0"/>
        <w:spacing w:after="0" w:line="240" w:lineRule="auto"/>
        <w:tabs>
          <w:tab w:val="left" w:pos="54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numPr>
          <w:ilvl w:val="0"/>
          <w:numId w:val="20"/>
        </w:numPr>
        <w:ind w:hanging="1080"/>
        <w:jc w:val="both"/>
        <w:spacing w:line="240" w:lineRule="auto"/>
        <w:rPr>
          <w:b/>
          <w:bCs/>
          <w:caps/>
        </w:rPr>
      </w:pPr>
      <w:r>
        <w:rPr>
          <w:b/>
          <w:bCs/>
          <w:caps/>
        </w:rPr>
        <w:t xml:space="preserve">Информация о закупке</w:t>
      </w:r>
      <w:r>
        <w:rPr>
          <w:b/>
          <w:bCs/>
          <w:caps/>
        </w:rPr>
        <w:t xml:space="preserve">:</w:t>
      </w:r>
      <w:r>
        <w:rPr>
          <w:b/>
          <w:bCs/>
          <w:caps/>
        </w:rPr>
      </w:r>
      <w:r>
        <w:rPr>
          <w:b/>
          <w:bCs/>
          <w:caps/>
        </w:rPr>
      </w:r>
    </w:p>
    <w:p>
      <w:pPr>
        <w:pStyle w:val="973"/>
        <w:numPr>
          <w:ilvl w:val="0"/>
          <w:numId w:val="22"/>
        </w:numPr>
        <w:widowControl/>
        <w:tabs>
          <w:tab w:val="left" w:pos="-567" w:leader="none"/>
        </w:tabs>
      </w:pPr>
      <w:r>
        <w:t xml:space="preserve"> </w:t>
      </w:r>
      <w:r>
        <w:t xml:space="preserve">Организатор закупки: </w:t>
      </w:r>
      <w:r>
        <w:t xml:space="preserve">Филиал </w:t>
      </w:r>
      <w:r>
        <w:rPr>
          <w:bCs/>
          <w:iCs/>
        </w:rPr>
        <w:t xml:space="preserve">ПАО </w:t>
      </w:r>
      <w:r>
        <w:rPr>
          <w:sz w:val="22"/>
          <w:szCs w:val="22"/>
        </w:rPr>
        <w:t xml:space="preserve">"</w:t>
      </w:r>
      <w:r>
        <w:t xml:space="preserve">Р</w:t>
      </w:r>
      <w:r>
        <w:t xml:space="preserve">оссети</w:t>
      </w:r>
      <w:r>
        <w:rPr>
          <w:sz w:val="22"/>
          <w:szCs w:val="22"/>
        </w:rPr>
        <w:t xml:space="preserve">"</w:t>
      </w:r>
      <w:r>
        <w:t xml:space="preserve"> - </w:t>
      </w:r>
      <w:r>
        <w:t xml:space="preserve">МЭС</w:t>
      </w:r>
      <w:r>
        <w:rPr>
          <w:bCs/>
          <w:iCs/>
        </w:rPr>
        <w:t xml:space="preserve"> </w:t>
      </w:r>
      <w:r>
        <w:t xml:space="preserve">Северо-Запада.</w:t>
      </w:r>
      <w:r/>
    </w:p>
    <w:p>
      <w:pPr>
        <w:pStyle w:val="973"/>
        <w:numPr>
          <w:ilvl w:val="0"/>
          <w:numId w:val="22"/>
        </w:numPr>
        <w:widowControl/>
        <w:tabs>
          <w:tab w:val="left" w:pos="-567" w:leader="none"/>
        </w:tabs>
        <w:rPr>
          <w:lang w:eastAsia="zh-CN" w:bidi="hi-IN"/>
        </w:rPr>
      </w:pPr>
      <w:r>
        <w:t xml:space="preserve"> </w:t>
      </w:r>
      <w:r>
        <w:t xml:space="preserve">Контактное лицо:</w:t>
      </w:r>
      <w:r>
        <w:rPr>
          <w:lang w:eastAsia="zh-CN" w:bidi="hi-IN"/>
        </w:rPr>
        <w:t xml:space="preserve"> Н.В. Андреева  +7 (812) 292-57-49, </w:t>
      </w:r>
      <w:hyperlink r:id="rId12" w:tooltip="mailto:Andreeva-NV@fskees.ru" w:history="1">
        <w:r>
          <w:rPr>
            <w:i/>
            <w:color w:val="0000ff"/>
            <w:lang w:eastAsia="zh-CN" w:bidi="hi-IN"/>
          </w:rPr>
          <w:t xml:space="preserve">Andreeva-NV@fskees.ru</w:t>
        </w:r>
      </w:hyperlink>
      <w:r>
        <w:rPr>
          <w:lang w:eastAsia="zh-CN" w:bidi="hi-IN"/>
        </w:rPr>
      </w:r>
      <w:r>
        <w:rPr>
          <w:lang w:eastAsia="zh-CN" w:bidi="hi-IN"/>
        </w:rPr>
      </w:r>
    </w:p>
    <w:p>
      <w:pPr>
        <w:pStyle w:val="967"/>
        <w:ind w:left="360"/>
        <w:jc w:val="both"/>
        <w:spacing w:before="120" w:line="240" w:lineRule="auto"/>
        <w:tabs>
          <w:tab w:val="left" w:pos="284" w:leader="none"/>
        </w:tabs>
        <w:rPr>
          <w:b/>
          <w:bCs/>
        </w:rPr>
      </w:pPr>
      <w:r>
        <w:rPr>
          <w:bCs/>
          <w:u w:val="single"/>
        </w:rPr>
        <w:t xml:space="preserve">3.  </w:t>
      </w:r>
      <w:r>
        <w:rPr>
          <w:bCs/>
          <w:u w:val="single"/>
        </w:rPr>
        <w:t xml:space="preserve"> </w:t>
      </w:r>
      <w:r>
        <w:rPr>
          <w:bCs/>
          <w:u w:val="single"/>
        </w:rPr>
        <w:t xml:space="preserve">Основание проведения</w:t>
      </w:r>
      <w:r>
        <w:rPr>
          <w:u w:val="single"/>
        </w:rPr>
        <w:t xml:space="preserve"> </w:t>
      </w:r>
      <w:r>
        <w:rPr>
          <w:bCs/>
          <w:u w:val="single"/>
        </w:rPr>
        <w:t xml:space="preserve">закупки в электронном магазине</w:t>
      </w:r>
      <w:r>
        <w:rPr>
          <w:bCs/>
        </w:rPr>
        <w:t xml:space="preserve">:</w:t>
      </w:r>
      <w:r>
        <w:rPr>
          <w:b/>
          <w:bCs/>
        </w:rPr>
        <w:t xml:space="preserve"> </w:t>
      </w:r>
      <w:r>
        <w:rPr>
          <w:b/>
          <w:bCs/>
        </w:rPr>
      </w:r>
      <w:r>
        <w:rPr>
          <w:b/>
          <w:bCs/>
        </w:rPr>
      </w:r>
    </w:p>
    <w:p>
      <w:pPr>
        <w:rPr>
          <w:bCs/>
          <w:highlight w:val="white"/>
        </w:rPr>
      </w:pPr>
      <w:r>
        <w:rPr>
          <w:bCs/>
          <w:highlight w:val="white"/>
        </w:rPr>
        <w:t xml:space="preserve">Согласно </w:t>
      </w:r>
      <w:r>
        <w:rPr>
          <w:bCs/>
          <w:highlight w:val="white"/>
        </w:rPr>
        <w:t xml:space="preserve">Распоряжению</w:t>
      </w:r>
      <w:r>
        <w:rPr>
          <w:bCs/>
          <w:highlight w:val="white"/>
        </w:rPr>
        <w:t xml:space="preserve"> филиала </w:t>
      </w:r>
      <w:r>
        <w:rPr>
          <w:bCs/>
          <w:iCs/>
          <w:highlight w:val="white"/>
        </w:rPr>
        <w:t xml:space="preserve">ПАО </w:t>
      </w:r>
      <w:r>
        <w:rPr>
          <w:sz w:val="22"/>
          <w:szCs w:val="22"/>
          <w:highlight w:val="white"/>
        </w:rPr>
        <w:t xml:space="preserve">"</w:t>
      </w:r>
      <w:r>
        <w:rPr>
          <w:highlight w:val="white"/>
        </w:rPr>
        <w:t xml:space="preserve">Р</w:t>
      </w:r>
      <w:r>
        <w:rPr>
          <w:highlight w:val="white"/>
        </w:rPr>
        <w:t xml:space="preserve">оссети</w:t>
      </w:r>
      <w:r>
        <w:rPr>
          <w:sz w:val="22"/>
          <w:szCs w:val="22"/>
          <w:highlight w:val="white"/>
        </w:rPr>
        <w:t xml:space="preserve">"</w:t>
      </w:r>
      <w:r>
        <w:rPr>
          <w:highlight w:val="white"/>
        </w:rPr>
        <w:t xml:space="preserve"> - </w:t>
      </w:r>
      <w:r>
        <w:rPr>
          <w:highlight w:val="white"/>
        </w:rPr>
        <w:t xml:space="preserve"> </w:t>
      </w:r>
      <w:r>
        <w:rPr>
          <w:highlight w:val="white"/>
        </w:rPr>
        <w:t xml:space="preserve">МЭС</w:t>
      </w:r>
      <w:r>
        <w:rPr>
          <w:bCs/>
          <w:iCs/>
          <w:highlight w:val="white"/>
        </w:rPr>
        <w:t xml:space="preserve"> С</w:t>
      </w:r>
      <w:r>
        <w:rPr>
          <w:bCs/>
          <w:iCs/>
          <w:highlight w:val="white"/>
        </w:rPr>
        <w:t xml:space="preserve">еверо-Запада </w:t>
      </w:r>
      <w:r>
        <w:rPr>
          <w:bCs/>
          <w:iCs/>
          <w:highlight w:val="white"/>
        </w:rPr>
        <w:t xml:space="preserve">о</w:t>
      </w:r>
      <w:r>
        <w:rPr>
          <w:bCs/>
          <w:iCs/>
          <w:highlight w:val="white"/>
        </w:rPr>
        <w:t xml:space="preserve">т 17</w:t>
      </w:r>
      <w:r>
        <w:rPr>
          <w:bCs/>
          <w:iCs/>
          <w:highlight w:val="white"/>
        </w:rPr>
        <w:t xml:space="preserve">.</w:t>
      </w:r>
      <w:r>
        <w:rPr>
          <w:bCs/>
          <w:iCs/>
          <w:highlight w:val="white"/>
        </w:rPr>
        <w:t xml:space="preserve">11.2025 г.</w:t>
      </w:r>
      <w:r>
        <w:rPr>
          <w:bCs/>
          <w:iCs/>
          <w:highlight w:val="white"/>
        </w:rPr>
        <w:t xml:space="preserve"> № 472</w:t>
      </w:r>
      <w:r>
        <w:rPr>
          <w:bCs/>
          <w:iCs/>
          <w:highlight w:val="white"/>
        </w:rPr>
        <w:t xml:space="preserve">.</w:t>
      </w:r>
      <w:r>
        <w:rPr>
          <w:bCs/>
          <w:iCs/>
          <w:highlight w:val="white"/>
        </w:rPr>
        <w:t xml:space="preserve"> (Закупка у субъектов МСП).</w:t>
      </w:r>
      <w:r>
        <w:rPr>
          <w:bCs/>
          <w:highlight w:val="white"/>
        </w:rPr>
      </w:r>
      <w:r>
        <w:rPr>
          <w:bCs/>
          <w:highlight w:val="white"/>
        </w:rPr>
      </w:r>
    </w:p>
    <w:p>
      <w:pPr>
        <w:ind w:right="6" w:firstLine="0"/>
        <w:rPr>
          <w:bCs/>
          <w:iCs/>
          <w:highlight w:val="white"/>
        </w:rPr>
      </w:pPr>
      <w:r>
        <w:rPr>
          <w:bCs/>
          <w:iCs/>
          <w:highlight w:val="white"/>
        </w:rPr>
        <w:t xml:space="preserve">  </w:t>
      </w:r>
      <w:r>
        <w:rPr>
          <w:bCs/>
          <w:iCs/>
          <w:highlight w:val="white"/>
        </w:rPr>
        <w:t xml:space="preserve">  </w:t>
      </w:r>
      <w:r>
        <w:rPr>
          <w:bCs/>
          <w:iCs/>
          <w:highlight w:val="white"/>
        </w:rPr>
        <w:t xml:space="preserve"> </w:t>
      </w:r>
      <w:r>
        <w:rPr>
          <w:bCs/>
          <w:iCs/>
          <w:highlight w:val="white"/>
        </w:rPr>
        <w:t xml:space="preserve">Извещение о проведении </w:t>
      </w:r>
      <w:r>
        <w:rPr>
          <w:bCs/>
          <w:iCs/>
          <w:highlight w:val="white"/>
        </w:rPr>
        <w:t xml:space="preserve">закупки в электронном магазине</w:t>
      </w:r>
      <w:r>
        <w:rPr>
          <w:bCs/>
          <w:iCs/>
          <w:highlight w:val="white"/>
        </w:rPr>
        <w:t xml:space="preserve"> от </w:t>
      </w:r>
      <w:r>
        <w:rPr>
          <w:bCs/>
          <w:iCs/>
          <w:highlight w:val="white"/>
        </w:rPr>
        <w:t xml:space="preserve">05.12.2025</w:t>
      </w:r>
      <w:r>
        <w:rPr>
          <w:bCs/>
          <w:iCs/>
          <w:highlight w:val="white"/>
        </w:rPr>
        <w:t xml:space="preserve"> г.</w:t>
      </w:r>
      <w:r>
        <w:rPr>
          <w:bCs/>
          <w:iCs/>
          <w:highlight w:val="white"/>
        </w:rPr>
        <w:t xml:space="preserve"> </w:t>
      </w:r>
      <w:r>
        <w:rPr>
          <w:bCs/>
          <w:iCs/>
          <w:highlight w:val="white"/>
        </w:rPr>
        <w:t xml:space="preserve">опубликован</w:t>
      </w:r>
      <w:r>
        <w:rPr>
          <w:bCs/>
          <w:iCs/>
          <w:highlight w:val="white"/>
        </w:rPr>
        <w:t xml:space="preserve">о</w:t>
      </w:r>
      <w:r>
        <w:rPr>
          <w:bCs/>
          <w:iCs/>
          <w:highlight w:val="white"/>
        </w:rPr>
        <w:t xml:space="preserve"> на официальном сайте Единой информационной системы в сфере закупок (</w:t>
      </w:r>
      <w:hyperlink r:id="rId13" w:tooltip="http://www.zakupki.gov.ru" w:history="1">
        <w:r>
          <w:rPr>
            <w:highlight w:val="white"/>
          </w:rPr>
          <w:t xml:space="preserve">www.zakupki.gov.ru</w:t>
        </w:r>
      </w:hyperlink>
      <w:r>
        <w:rPr>
          <w:bCs/>
          <w:iCs/>
          <w:highlight w:val="white"/>
        </w:rPr>
        <w:t xml:space="preserve">) № </w:t>
      </w:r>
      <w:r>
        <w:rPr>
          <w:bCs/>
          <w:iCs/>
          <w:highlight w:val="white"/>
        </w:rPr>
        <w:t xml:space="preserve">32515496454</w:t>
      </w:r>
      <w:r>
        <w:rPr>
          <w:bCs/>
          <w:iCs/>
          <w:highlight w:val="white"/>
        </w:rPr>
        <w:t xml:space="preserve">, с ко</w:t>
      </w:r>
      <w:r>
        <w:rPr>
          <w:bCs/>
          <w:iCs/>
          <w:highlight w:val="white"/>
        </w:rPr>
        <w:t xml:space="preserve">пией публикации</w:t>
      </w:r>
      <w:r>
        <w:rPr>
          <w:bCs/>
          <w:iCs/>
          <w:highlight w:val="white"/>
        </w:rPr>
        <w:t xml:space="preserve"> в электронном магазине России РТС-Маркет (https://msp-shop.rts-tender.ru)</w:t>
      </w:r>
      <w:r>
        <w:rPr>
          <w:bCs/>
          <w:iCs/>
          <w:highlight w:val="white"/>
        </w:rPr>
        <w:t xml:space="preserve"> закупка № 9690834.</w:t>
      </w:r>
      <w:r>
        <w:rPr>
          <w:bCs/>
          <w:iCs/>
          <w:highlight w:val="white"/>
        </w:rPr>
      </w:r>
      <w:r>
        <w:rPr>
          <w:bCs/>
          <w:iCs/>
          <w:highlight w:val="white"/>
        </w:rPr>
      </w:r>
    </w:p>
    <w:p>
      <w:pPr>
        <w:pStyle w:val="803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highlight w:val="cyan"/>
        </w:rPr>
      </w:pPr>
      <w:r>
        <w:rPr>
          <w:bCs/>
          <w:iCs/>
        </w:rPr>
        <w:t xml:space="preserve">       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С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пособ и предмет закупки: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закупк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а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 в электронном магазине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 на право заключения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договора на </w:t>
      </w:r>
      <w:r>
        <w:rPr>
          <w:bCs/>
          <w:i w:val="0"/>
          <w:iCs w:val="0"/>
          <w:sz w:val="24"/>
          <w:szCs w:val="24"/>
        </w:rPr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Выполнение работ по ремонту з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pacing w:val="-2"/>
          <w:sz w:val="24"/>
          <w:szCs w:val="24"/>
          <w:lang w:eastAsia="ru-RU"/>
        </w:rPr>
        <w:t xml:space="preserve">даний объектов Новгородской, Псковской и Смоленской ГПС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 для нужд филиала ПАО "Россети" - Новгородское ПМЭС</w:t>
      </w:r>
      <w:r/>
      <w:r>
        <w:rPr>
          <w:rFonts w:ascii="Times New Roman" w:hAnsi="Times New Roman" w:eastAsia="Times New Roman" w:cs="Times New Roman"/>
          <w:bCs/>
          <w:iCs/>
          <w:sz w:val="24"/>
          <w:szCs w:val="24"/>
        </w:rPr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highlight w:val="cyan"/>
        </w:rPr>
      </w:r>
    </w:p>
    <w:tbl>
      <w:tblPr>
        <w:tblW w:w="5031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3542"/>
        <w:gridCol w:w="3969"/>
        <w:gridCol w:w="2976"/>
      </w:tblGrid>
      <w:tr>
        <w:tblPrEx/>
        <w:trPr>
          <w:trHeight w:val="696"/>
        </w:trPr>
        <w:tc>
          <w:tcPr>
            <w:tcW w:w="3542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widowControl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Сведения об объемах закупаемых товаров, работ, услуг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tcW w:w="3969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widowControl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bCs/>
                <w:sz w:val="22"/>
                <w:szCs w:val="22"/>
                <w:lang w:eastAsia="en-US"/>
              </w:rPr>
              <w:t xml:space="preserve">Начальная (максимальная)</w:t>
            </w:r>
            <w:r>
              <w:rPr>
                <w:rFonts w:eastAsia="Calibri"/>
                <w:sz w:val="22"/>
                <w:szCs w:val="22"/>
                <w:lang w:eastAsia="en-US"/>
              </w:rPr>
              <w:t xml:space="preserve"> цена договора, рублей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tcW w:w="2976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widowControl/>
              <w:tabs>
                <w:tab w:val="left" w:pos="900" w:leader="none"/>
              </w:tabs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Сроки </w:t>
            </w:r>
            <w:r>
              <w:rPr>
                <w:rFonts w:eastAsia="Calibri"/>
                <w:bCs/>
                <w:iCs/>
                <w:sz w:val="22"/>
                <w:szCs w:val="22"/>
                <w:lang w:eastAsia="en-US"/>
              </w:rPr>
              <w:t xml:space="preserve">оказания услуг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</w:tr>
      <w:tr>
        <w:tblPrEx/>
        <w:trPr>
          <w:trHeight w:val="964"/>
        </w:trPr>
        <w:tc>
          <w:tcPr>
            <w:tcW w:w="3542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widowControl/>
              <w:rPr>
                <w:rFonts w:eastAsia="Calibri"/>
                <w:b/>
                <w:bCs/>
                <w:i w:val="0"/>
                <w:iCs w:val="0"/>
                <w:sz w:val="22"/>
                <w:szCs w:val="22"/>
                <w:highlight w:val="white"/>
              </w:rPr>
            </w:pPr>
            <w:r>
              <w:rPr>
                <w:rFonts w:eastAsia="Calibri"/>
                <w:b/>
                <w:bCs/>
                <w:i w:val="0"/>
                <w:iCs w:val="0"/>
                <w:sz w:val="22"/>
                <w:szCs w:val="22"/>
                <w:highlight w:val="white"/>
                <w:lang w:eastAsia="en-US"/>
              </w:rPr>
              <w:t xml:space="preserve">в соответствии с Извещением </w:t>
            </w:r>
            <w:r>
              <w:rPr>
                <w:rFonts w:eastAsia="Calibri"/>
                <w:b/>
                <w:bCs/>
                <w:i w:val="0"/>
                <w:iCs w:val="0"/>
                <w:sz w:val="22"/>
                <w:szCs w:val="22"/>
                <w:highlight w:val="white"/>
                <w:lang w:eastAsia="en-US"/>
              </w:rPr>
              <w:t xml:space="preserve">о проведении закупки в электронном магазине</w:t>
            </w:r>
            <w:r>
              <w:rPr>
                <w:rFonts w:eastAsia="Calibri"/>
                <w:b/>
                <w:bCs/>
                <w:i w:val="0"/>
                <w:iCs w:val="0"/>
                <w:sz w:val="22"/>
                <w:szCs w:val="22"/>
                <w:highlight w:val="white"/>
              </w:rPr>
            </w:r>
            <w:r>
              <w:rPr>
                <w:rFonts w:eastAsia="Calibri"/>
                <w:b/>
                <w:bCs/>
                <w:i w:val="0"/>
                <w:iCs w:val="0"/>
                <w:sz w:val="22"/>
                <w:szCs w:val="22"/>
                <w:highlight w:val="white"/>
              </w:rPr>
            </w:r>
          </w:p>
        </w:tc>
        <w:tc>
          <w:tcPr>
            <w:tcW w:w="3969" w:type="dxa"/>
            <w:vAlign w:val="center"/>
            <w:textDirection w:val="lrTb"/>
            <w:noWrap w:val="false"/>
          </w:tcPr>
          <w:p>
            <w:pPr>
              <w:pStyle w:val="983"/>
              <w:spacing w:line="240" w:lineRule="auto"/>
              <w:rPr>
                <w:b/>
                <w:sz w:val="22"/>
                <w:szCs w:val="22"/>
                <w:highlight w:val="white"/>
              </w:rPr>
            </w:pPr>
            <w:r>
              <w:rPr>
                <w:b/>
                <w:bCs/>
                <w:sz w:val="22"/>
                <w:szCs w:val="22"/>
                <w:highlight w:val="white"/>
              </w:rPr>
              <w:t xml:space="preserve"> 4 164 999,99</w:t>
            </w:r>
            <w:r>
              <w:rPr>
                <w:b/>
                <w:bCs/>
                <w:sz w:val="22"/>
                <w:szCs w:val="22"/>
                <w:highlight w:val="white"/>
              </w:rPr>
              <w:t xml:space="preserve"> руб. без НДС</w:t>
            </w:r>
            <w:r>
              <w:rPr>
                <w:b/>
                <w:bCs/>
                <w:highlight w:val="white"/>
              </w:rPr>
            </w:r>
            <w:r>
              <w:rPr>
                <w:b/>
                <w:bCs/>
                <w:sz w:val="22"/>
                <w:szCs w:val="22"/>
                <w:highlight w:val="white"/>
              </w:rPr>
            </w:r>
          </w:p>
          <w:p>
            <w:pPr>
              <w:pStyle w:val="983"/>
              <w:spacing w:line="240" w:lineRule="auto"/>
              <w:rPr>
                <w:b/>
                <w:sz w:val="22"/>
                <w:szCs w:val="22"/>
                <w:highlight w:val="white"/>
              </w:rPr>
            </w:pPr>
            <w:r>
              <w:rPr>
                <w:b/>
                <w:bCs/>
                <w:sz w:val="22"/>
                <w:szCs w:val="22"/>
                <w:highlight w:val="white"/>
              </w:rPr>
              <w:t xml:space="preserve">Кроме того</w:t>
            </w:r>
            <w:r>
              <w:rPr>
                <w:b/>
                <w:bCs/>
                <w:sz w:val="22"/>
                <w:szCs w:val="22"/>
                <w:highlight w:val="white"/>
              </w:rPr>
              <w:t xml:space="preserve"> НДС 20% 833 000,00 </w:t>
            </w:r>
            <w:r>
              <w:rPr>
                <w:b/>
                <w:bCs/>
                <w:sz w:val="22"/>
                <w:szCs w:val="22"/>
                <w:highlight w:val="white"/>
              </w:rPr>
              <w:t xml:space="preserve"> руб.</w:t>
            </w:r>
            <w:r>
              <w:rPr>
                <w:b/>
                <w:bCs/>
                <w:sz w:val="22"/>
                <w:szCs w:val="22"/>
                <w:highlight w:val="white"/>
              </w:rPr>
            </w:r>
            <w:r>
              <w:rPr>
                <w:b/>
                <w:bCs/>
                <w:sz w:val="22"/>
                <w:szCs w:val="22"/>
                <w:highlight w:val="white"/>
              </w:rPr>
            </w:r>
          </w:p>
          <w:p>
            <w:pPr>
              <w:jc w:val="center"/>
              <w:rPr>
                <w:b/>
                <w:sz w:val="22"/>
                <w:szCs w:val="22"/>
                <w:highlight w:val="white"/>
              </w:rPr>
            </w:pPr>
            <w:r>
              <w:rPr>
                <w:b/>
                <w:bCs/>
                <w:sz w:val="22"/>
                <w:szCs w:val="22"/>
                <w:highlight w:val="white"/>
              </w:rPr>
              <w:t xml:space="preserve">4  997 999,99 </w:t>
            </w:r>
            <w:r>
              <w:rPr>
                <w:b/>
                <w:bCs/>
                <w:sz w:val="22"/>
                <w:szCs w:val="22"/>
                <w:highlight w:val="white"/>
              </w:rPr>
              <w:t xml:space="preserve"> руб. с НДС</w:t>
            </w:r>
            <w:r>
              <w:rPr>
                <w:b/>
                <w:bCs/>
                <w:sz w:val="22"/>
                <w:szCs w:val="22"/>
                <w:highlight w:val="white"/>
              </w:rPr>
            </w:r>
            <w:r>
              <w:rPr>
                <w:b/>
                <w:bCs/>
                <w:sz w:val="22"/>
                <w:szCs w:val="22"/>
                <w:highlight w:val="white"/>
              </w:rPr>
            </w:r>
          </w:p>
          <w:p>
            <w:pPr>
              <w:ind w:firstLine="0"/>
              <w:jc w:val="center"/>
              <w:widowControl/>
              <w:rPr>
                <w:rFonts w:eastAsia="Calibri"/>
                <w:b/>
                <w:bCs/>
                <w:i w:val="0"/>
                <w:iCs w:val="0"/>
                <w:sz w:val="22"/>
                <w:szCs w:val="22"/>
                <w:highlight w:val="white"/>
              </w:rPr>
            </w:pPr>
            <w:r>
              <w:rPr>
                <w:rFonts w:eastAsia="Calibri"/>
                <w:b/>
                <w:bCs/>
                <w:i w:val="0"/>
                <w:iCs w:val="0"/>
                <w:sz w:val="22"/>
                <w:szCs w:val="22"/>
                <w:highlight w:val="white"/>
              </w:rPr>
            </w:r>
          </w:p>
        </w:tc>
        <w:tc>
          <w:tcPr>
            <w:tcW w:w="2976" w:type="dxa"/>
            <w:vAlign w:val="center"/>
            <w:textDirection w:val="lrTb"/>
            <w:noWrap w:val="false"/>
          </w:tcPr>
          <w:p>
            <w:pPr>
              <w:ind w:firstLine="0"/>
              <w:jc w:val="left"/>
              <w:tabs>
                <w:tab w:val="left" w:pos="1134" w:leader="none"/>
              </w:tabs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2"/>
                <w:szCs w:val="22"/>
                <w:highlight w:val="white"/>
              </w:rPr>
              <w:t xml:space="preserve">Сроки 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2"/>
                <w:szCs w:val="22"/>
                <w:highlight w:val="white"/>
              </w:rPr>
              <w:t xml:space="preserve">оказания услуг/выполнения работ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2"/>
                <w:szCs w:val="22"/>
                <w:highlight w:val="white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ы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к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ю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ч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я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г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 22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г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pacing w:val="-2"/>
                <w:sz w:val="22"/>
                <w:szCs w:val="22"/>
                <w:highlight w:val="white"/>
              </w:rPr>
              <w:t xml:space="preserve">.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</w:r>
          </w:p>
          <w:p>
            <w:pPr>
              <w:ind w:left="37" w:firstLine="0"/>
              <w:jc w:val="left"/>
              <w:widowControl/>
              <w:rPr>
                <w:rFonts w:eastAsia="Calibri"/>
                <w:b/>
                <w:bCs/>
                <w:i w:val="0"/>
                <w:iCs w:val="0"/>
                <w:sz w:val="22"/>
                <w:szCs w:val="22"/>
                <w:highlight w:val="white"/>
              </w:rPr>
            </w:pPr>
            <w:r>
              <w:rPr>
                <w:rFonts w:eastAsia="Calibri"/>
                <w:b/>
                <w:bCs/>
                <w:i w:val="0"/>
                <w:iCs w:val="0"/>
                <w:sz w:val="22"/>
                <w:szCs w:val="22"/>
                <w:highlight w:val="white"/>
              </w:rPr>
            </w:r>
            <w:r>
              <w:rPr>
                <w:rFonts w:eastAsia="Calibri"/>
                <w:b/>
                <w:bCs/>
                <w:i w:val="0"/>
                <w:iCs w:val="0"/>
                <w:sz w:val="22"/>
                <w:szCs w:val="22"/>
                <w:highlight w:val="white"/>
              </w:rPr>
            </w:r>
            <w:r>
              <w:rPr>
                <w:rFonts w:eastAsia="Calibri"/>
                <w:b/>
                <w:bCs/>
                <w:i w:val="0"/>
                <w:iCs w:val="0"/>
                <w:sz w:val="22"/>
                <w:szCs w:val="22"/>
                <w:highlight w:val="white"/>
              </w:rPr>
            </w:r>
          </w:p>
        </w:tc>
      </w:tr>
    </w:tbl>
    <w:p>
      <w:pPr>
        <w:pStyle w:val="969"/>
        <w:ind w:left="360" w:firstLine="0"/>
        <w:spacing w:before="120" w:line="240" w:lineRule="auto"/>
        <w:tabs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4.  </w:t>
      </w:r>
      <w:r>
        <w:rPr>
          <w:sz w:val="24"/>
          <w:szCs w:val="24"/>
        </w:rPr>
        <w:t xml:space="preserve">На момент</w:t>
      </w:r>
      <w:r>
        <w:rPr>
          <w:sz w:val="24"/>
          <w:szCs w:val="24"/>
        </w:rPr>
        <w:t xml:space="preserve"> окончания срока </w:t>
      </w:r>
      <w:r>
        <w:rPr>
          <w:sz w:val="24"/>
          <w:szCs w:val="24"/>
        </w:rPr>
        <w:t xml:space="preserve">проведения зак</w:t>
      </w:r>
      <w:r>
        <w:rPr>
          <w:sz w:val="24"/>
          <w:szCs w:val="24"/>
        </w:rPr>
        <w:t xml:space="preserve">упки в электронном магазине были представлены </w:t>
      </w:r>
      <w:r>
        <w:rPr>
          <w:sz w:val="24"/>
          <w:szCs w:val="24"/>
        </w:rPr>
        <w:t xml:space="preserve">предложени</w:t>
      </w:r>
      <w:r>
        <w:rPr>
          <w:sz w:val="24"/>
          <w:szCs w:val="24"/>
        </w:rPr>
        <w:t xml:space="preserve">я</w:t>
      </w:r>
      <w:r>
        <w:rPr>
          <w:sz w:val="24"/>
          <w:szCs w:val="24"/>
        </w:rPr>
        <w:t xml:space="preserve"> следующими участниками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945"/>
        <w:gridCol w:w="3197"/>
        <w:gridCol w:w="1668"/>
        <w:gridCol w:w="1668"/>
      </w:tblGrid>
      <w:tr>
        <w:tblPrEx/>
        <w:trPr>
          <w:trHeight w:val="320"/>
        </w:trPr>
        <w:tc>
          <w:tcPr>
            <w:shd w:val="clear" w:color="auto" w:fill="auto"/>
            <w:tcW w:w="933" w:type="pct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Дата подачи </w:t>
            </w:r>
            <w:r>
              <w:rPr>
                <w:bCs/>
                <w:color w:val="000000"/>
              </w:rPr>
              <w:t xml:space="preserve">предложения</w:t>
            </w: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</w:p>
        </w:tc>
        <w:tc>
          <w:tcPr>
            <w:tcW w:w="933" w:type="pct"/>
            <w:vAlign w:val="center"/>
            <w:vMerge w:val="restart"/>
            <w:textDirection w:val="lrTb"/>
            <w:noWrap w:val="false"/>
          </w:tcPr>
          <w:p>
            <w:pPr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Номер предложения</w:t>
            </w: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</w:p>
        </w:tc>
        <w:tc>
          <w:tcPr>
            <w:shd w:val="clear" w:color="auto" w:fill="auto"/>
            <w:tcW w:w="1534" w:type="pct"/>
            <w:vAlign w:val="center"/>
            <w:vMerge w:val="restart"/>
            <w:textDirection w:val="lrTb"/>
            <w:noWrap/>
          </w:tcPr>
          <w:p>
            <w:pPr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Наименование </w:t>
            </w:r>
            <w:r>
              <w:rPr>
                <w:bCs/>
                <w:color w:val="000000"/>
              </w:rPr>
              <w:t xml:space="preserve">участника</w:t>
            </w: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</w:p>
        </w:tc>
        <w:tc>
          <w:tcPr>
            <w:gridSpan w:val="2"/>
            <w:tcW w:w="1600" w:type="pct"/>
            <w:textDirection w:val="lrTb"/>
            <w:noWrap w:val="false"/>
          </w:tcPr>
          <w:p>
            <w:pPr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Ценовое предложение, руб.</w:t>
            </w: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</w:p>
        </w:tc>
      </w:tr>
      <w:tr>
        <w:tblPrEx/>
        <w:trPr>
          <w:trHeight w:val="215"/>
        </w:trPr>
        <w:tc>
          <w:tcPr>
            <w:shd w:val="clear" w:color="auto" w:fill="auto"/>
            <w:tcW w:w="933" w:type="pct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</w:p>
        </w:tc>
        <w:tc>
          <w:tcPr>
            <w:tcW w:w="933" w:type="pct"/>
            <w:vMerge w:val="continue"/>
            <w:textDirection w:val="lrTb"/>
            <w:noWrap w:val="false"/>
          </w:tcPr>
          <w:p>
            <w:pPr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</w:p>
        </w:tc>
        <w:tc>
          <w:tcPr>
            <w:shd w:val="clear" w:color="auto" w:fill="auto"/>
            <w:tcW w:w="1534" w:type="pct"/>
            <w:vAlign w:val="center"/>
            <w:vMerge w:val="continue"/>
            <w:textDirection w:val="lrTb"/>
            <w:noWrap/>
          </w:tcPr>
          <w:p>
            <w:pPr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</w:p>
        </w:tc>
        <w:tc>
          <w:tcPr>
            <w:tcW w:w="800" w:type="pct"/>
            <w:textDirection w:val="lrTb"/>
            <w:noWrap w:val="false"/>
          </w:tcPr>
          <w:p>
            <w:pPr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без НДС</w:t>
            </w: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</w:p>
        </w:tc>
        <w:tc>
          <w:tcPr>
            <w:tcW w:w="800" w:type="pct"/>
            <w:textDirection w:val="lrTb"/>
            <w:noWrap w:val="false"/>
          </w:tcPr>
          <w:p>
            <w:pPr>
              <w:ind w:firstLine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с НДС</w:t>
            </w: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</w:p>
        </w:tc>
      </w:tr>
      <w:tr>
        <w:tblPrEx/>
        <w:trPr>
          <w:trHeight w:val="1150"/>
        </w:trPr>
        <w:tc>
          <w:tcPr>
            <w:shd w:val="clear" w:color="auto" w:fill="auto"/>
            <w:tcW w:w="933" w:type="pct"/>
            <w:vAlign w:val="center"/>
            <w:textDirection w:val="lrTb"/>
            <w:noWrap w:val="false"/>
          </w:tcPr>
          <w:p>
            <w:pPr>
              <w:pStyle w:val="803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t xml:space="preserve">11  декабря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</w:r>
          </w:p>
          <w:p>
            <w:pPr>
              <w:pStyle w:val="803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instrText xml:space="preserve"> INCLUDEPICTURE "https://223.rts-tender.ru/customer/lk/Content/images/css/icon-watch.png" \* MERGEFORMATINET </w:instrTex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instrText xml:space="preserve"> INCLUDEPICTURE  "https://223.rts-tender.ru/customer/lk/Content/images/css/icon-watch.png" \* MERGEFORMATINET </w:instrTex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instrText xml:space="preserve"> INCLUDEPICTURE  "https://223.rts-tender.ru/customer/lk/Content/images/css/icon-watch.png" \* MERGEFORMATINET </w:instrTex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instrText xml:space="preserve"> INCLUDEPICTURE  "https://223.rts-tender.ru/customer/lk/Content/images/css/icon-watch.png" \* MERGEFORMATINET </w:instrTex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instrText xml:space="preserve"> INCLUDEPICTURE  "https://223.rts-tender.ru/customer/lk/Content/images/css/icon-watch.png" \* MERGEFORMATINET </w:instrTex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instrText xml:space="preserve"> INCLUDEPICTURE  "https://223.rts-tender.ru/customer/lk/Content/images/css/icon-watch.png" \* MERGEFORMATINET </w:instrTex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instrText xml:space="preserve"> INCLUDEPICTURE  "https://223.rts-tender.ru/customer/lk/Content/images/css/icon-watch.png" \* MERGEFORMATINET </w:instrTex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14300" cy="114300"/>
                      <wp:effectExtent l="0" t="0" r="0" b="0"/>
                      <wp:docPr id="1" name="_x0000_i1033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9.00pt;height:9.00pt;mso-wrap-distance-left:0.00pt;mso-wrap-distance-top:0.00pt;mso-wrap-distance-right:0.00pt;mso-wrap-distance-bottom:0.00pt;" stroked="f">
                      <v:path textboxrect="0,0,0,0"/>
                      <v:imagedata r:id="rId1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t xml:space="preserve">  23:20 (МСК)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tcW w:w="933" w:type="pct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74" w:lineRule="atLeast"/>
              <w:shd w:val="clear" w:color="ffffff" w:fill="ffffff"/>
              <w:rPr>
                <w:rFonts w:ascii="Times New Roman" w:hAnsi="Times New Roman" w:cs="Times New Roman"/>
                <w:color w:val="000000" w:themeColor="text1"/>
                <w:sz w:val="21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  <w:u w:val="none"/>
              </w:rPr>
              <w:t xml:space="preserve">№27982347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</w:r>
          </w:p>
          <w:p>
            <w:pPr>
              <w:pStyle w:val="803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34" w:type="pct"/>
            <w:vAlign w:val="center"/>
            <w:textDirection w:val="lrTb"/>
            <w:noWrap/>
          </w:tcPr>
          <w:p>
            <w:pPr>
              <w:ind w:firstLine="0"/>
              <w:jc w:val="center"/>
              <w:widowControl/>
              <w:rPr>
                <w:rFonts w:ascii="Times New Roman" w:hAnsi="Times New Roman" w:cs="Times New Roman"/>
                <w:b/>
                <w:bCs/>
                <w:i w:val="0"/>
                <w:color w:val="000000" w:themeColor="text1"/>
                <w:sz w:val="20"/>
                <w:szCs w:val="20"/>
                <w:highlight w:val="whit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  <w:highlight w:val="white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  <w:highlight w:val="white"/>
                <w:lang w:eastAsia="en-US"/>
              </w:rPr>
            </w:r>
          </w:p>
          <w:p>
            <w:pPr>
              <w:pStyle w:val="803"/>
              <w:rPr>
                <w:rFonts w:ascii="Times New Roman" w:hAnsi="Times New Roman" w:cs="Times New Roman"/>
                <w:b/>
                <w:bCs/>
                <w:i w:val="0"/>
                <w:color w:val="000000" w:themeColor="text1"/>
                <w:sz w:val="20"/>
                <w:szCs w:val="20"/>
                <w:highlight w:val="whit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  <w:highlight w:val="white"/>
                <w:lang w:eastAsia="en-US"/>
              </w:rPr>
            </w:r>
            <w:hyperlink r:id="rId15" w:tooltip="https://msp-shop.rts-tender.ru/company/0e8a412f-c1b2-4c50-9731-fc6145aea9d4/info" w:history="1">
              <w:r>
                <w:rPr>
                  <w:rFonts w:ascii="Times New Roman" w:hAnsi="Times New Roman" w:eastAsia="Times New Roman" w:cs="Times New Roman"/>
                  <w:b/>
                  <w:bCs/>
                  <w:i w:val="0"/>
                  <w:iCs w:val="0"/>
                  <w:color w:val="000000" w:themeColor="text1"/>
                  <w:sz w:val="20"/>
                  <w:szCs w:val="20"/>
                  <w:highlight w:val="white"/>
                  <w:lang w:eastAsia="en-US"/>
                </w:rPr>
                <w:t xml:space="preserve">ОБЩЕСТВО С ОГРАНИЧЕННОЙ ОТВЕТСТВЕННОСТЬЮ "НОВОСТРОЙПРОЕКТ ФСК"</w:t>
              </w:r>
            </w:hyperlink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  <w:highlight w:val="white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  <w:highlight w:val="white"/>
                <w:lang w:eastAsia="en-US"/>
              </w:rPr>
            </w:r>
          </w:p>
          <w:p>
            <w:pPr>
              <w:pStyle w:val="803"/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  <w:highlight w:val="whit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  <w:highlight w:val="white"/>
                <w:lang w:eastAsia="en-US"/>
              </w:rPr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  <w:highlight w:val="white"/>
                <w14:ligatures w14:val="none"/>
              </w:rPr>
            </w:r>
          </w:p>
          <w:p>
            <w:pPr>
              <w:pStyle w:val="803"/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  <w:highlight w:val="whit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  <w:highlight w:val="white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  <w:highlight w:val="white"/>
                <w:lang w:eastAsia="en-US"/>
              </w:rPr>
              <w:t xml:space="preserve">ИНН:  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  <w:highlight w:val="white"/>
                <w:lang w:eastAsia="en-US"/>
              </w:rPr>
              <w:t xml:space="preserve">9717132720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  <w:highlight w:val="white"/>
                <w:lang w:eastAsia="en-US"/>
              </w:rPr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  <w:highlight w:val="white"/>
                <w14:ligatures w14:val="none"/>
              </w:rPr>
            </w:r>
          </w:p>
        </w:tc>
        <w:tc>
          <w:tcPr>
            <w:shd w:val="clear" w:color="auto" w:fill="auto"/>
            <w:tcW w:w="800" w:type="pct"/>
            <w:vAlign w:val="center"/>
            <w:textDirection w:val="lrTb"/>
            <w:noWrap w:val="false"/>
          </w:tcPr>
          <w:p>
            <w:pPr>
              <w:pStyle w:val="803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t xml:space="preserve">4 158 333,33 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  <w14:ligatures w14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  <w14:ligatures w14:val="none"/>
              </w:rPr>
            </w:r>
          </w:p>
        </w:tc>
        <w:tc>
          <w:tcPr>
            <w:tcW w:w="800" w:type="pct"/>
            <w:vAlign w:val="center"/>
            <w:textDirection w:val="lrTb"/>
            <w:noWrap w:val="false"/>
          </w:tcPr>
          <w:p>
            <w:pPr>
              <w:pStyle w:val="803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t xml:space="preserve">4 990 000,00 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  <w14:ligatures w14:val="none"/>
              </w:rPr>
            </w:r>
          </w:p>
        </w:tc>
      </w:tr>
    </w:tbl>
    <w:p>
      <w:pPr>
        <w:jc w:val="left"/>
        <w:widowControl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>
      <w:pPr>
        <w:pStyle w:val="967"/>
        <w:numPr>
          <w:ilvl w:val="0"/>
          <w:numId w:val="20"/>
        </w:numPr>
        <w:ind w:hanging="1080"/>
        <w:jc w:val="both"/>
        <w:spacing w:line="240" w:lineRule="auto"/>
        <w:rPr>
          <w:b/>
          <w:bCs/>
          <w:caps/>
        </w:rPr>
      </w:pPr>
      <w:r>
        <w:rPr>
          <w:b/>
          <w:bCs/>
          <w:caps/>
        </w:rPr>
        <w:t xml:space="preserve">РешениЯ</w:t>
      </w:r>
      <w:r>
        <w:rPr>
          <w:b/>
          <w:bCs/>
          <w:caps/>
        </w:rPr>
        <w:t xml:space="preserve"> Закупочной комиссии</w:t>
      </w:r>
      <w:r>
        <w:rPr>
          <w:b/>
          <w:bCs/>
          <w:caps/>
        </w:rPr>
        <w:t xml:space="preserve">:</w:t>
      </w:r>
      <w:r>
        <w:rPr>
          <w:b/>
          <w:bCs/>
          <w:caps/>
        </w:rPr>
      </w:r>
      <w:r>
        <w:rPr>
          <w:b/>
          <w:bCs/>
          <w:caps/>
        </w:rPr>
      </w:r>
    </w:p>
    <w:p>
      <w:pPr>
        <w:pStyle w:val="973"/>
        <w:numPr>
          <w:ilvl w:val="0"/>
          <w:numId w:val="5"/>
        </w:numPr>
        <w:ind w:left="0" w:firstLine="0"/>
        <w:spacing w:after="120"/>
        <w:widowControl/>
        <w:tabs>
          <w:tab w:val="left" w:pos="567" w:leader="none"/>
        </w:tabs>
      </w:pPr>
      <w:r>
        <w:t xml:space="preserve">Комиссия</w:t>
      </w:r>
      <w:r>
        <w:t xml:space="preserve"> </w:t>
      </w:r>
      <w:r>
        <w:t xml:space="preserve">рассмотр</w:t>
      </w:r>
      <w:r>
        <w:t xml:space="preserve">ела </w:t>
      </w:r>
      <w:r>
        <w:rPr>
          <w:bCs/>
        </w:rPr>
        <w:t xml:space="preserve">предложени</w:t>
      </w:r>
      <w:r>
        <w:rPr>
          <w:bCs/>
        </w:rPr>
        <w:t xml:space="preserve">я</w:t>
      </w:r>
      <w:r>
        <w:t xml:space="preserve"> </w:t>
      </w:r>
      <w:r>
        <w:rPr>
          <w:bCs/>
        </w:rPr>
        <w:t xml:space="preserve">участни</w:t>
      </w:r>
      <w:r>
        <w:t xml:space="preserve">ков</w:t>
      </w:r>
      <w:r>
        <w:t xml:space="preserve"> и приняла решения</w:t>
      </w:r>
      <w:r>
        <w:t xml:space="preserve">:</w:t>
      </w:r>
      <w:r/>
    </w:p>
    <w:tbl>
      <w:tblPr>
        <w:tblW w:w="4897" w:type="pct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Look w:val="00A0" w:firstRow="1" w:lastRow="0" w:firstColumn="1" w:lastColumn="0" w:noHBand="0" w:noVBand="0"/>
      </w:tblPr>
      <w:tblGrid>
        <w:gridCol w:w="3684"/>
        <w:gridCol w:w="3264"/>
        <w:gridCol w:w="3260"/>
      </w:tblGrid>
      <w:tr>
        <w:tblPrEx/>
        <w:trPr>
          <w:trHeight w:val="680"/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84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widowControl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Наименование </w:t>
            </w:r>
            <w:r>
              <w:rPr>
                <w:bCs/>
                <w:sz w:val="22"/>
                <w:szCs w:val="22"/>
              </w:rPr>
              <w:t xml:space="preserve">участника</w:t>
            </w:r>
            <w:r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4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widowControl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Принятое решение</w:t>
            </w:r>
            <w:r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widowControl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Основание для отклонения </w:t>
            </w:r>
            <w:r>
              <w:rPr>
                <w:bCs/>
                <w:sz w:val="22"/>
                <w:szCs w:val="22"/>
              </w:rPr>
              <w:t xml:space="preserve">предложения</w:t>
            </w:r>
            <w:r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</w:p>
        </w:tc>
      </w:tr>
      <w:tr>
        <w:tblPrEx/>
        <w:trPr>
          <w:trHeight w:val="1103" w:hRule="exac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84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rPr>
                <w:b w:val="0"/>
                <w:bCs w:val="0"/>
                <w:sz w:val="20"/>
                <w:szCs w:val="20"/>
                <w:highlight w:val="white"/>
              </w:rPr>
            </w:pPr>
            <w:r>
              <w:rPr>
                <w:b w:val="0"/>
                <w:bCs w:val="0"/>
                <w:sz w:val="20"/>
                <w:szCs w:val="20"/>
                <w:highlight w:val="white"/>
              </w:rPr>
              <w:t xml:space="preserve">Участник № 1 </w:t>
            </w:r>
            <w:r>
              <w:rPr>
                <w:b w:val="0"/>
                <w:bCs w:val="0"/>
                <w:sz w:val="20"/>
                <w:szCs w:val="20"/>
                <w:highlight w:val="white"/>
              </w:rPr>
            </w:r>
            <w:r>
              <w:rPr>
                <w:b w:val="0"/>
                <w:bCs w:val="0"/>
                <w:sz w:val="20"/>
                <w:szCs w:val="20"/>
                <w:highlight w:val="white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white"/>
              </w:rPr>
            </w:r>
            <w:r>
              <w:rPr>
                <w:b w:val="0"/>
                <w:bCs w:val="0"/>
                <w:sz w:val="20"/>
                <w:szCs w:val="20"/>
                <w:highlight w:val="white"/>
              </w:rPr>
            </w:r>
            <w:hyperlink r:id="rId16" w:tooltip="https://msp-shop.rts-tender.ru/company/0e8a412f-c1b2-4c50-9731-fc6145aea9d4/info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olor w:val="000000" w:themeColor="text1"/>
                  <w:sz w:val="20"/>
                  <w:szCs w:val="20"/>
                  <w:highlight w:val="white"/>
                  <w:lang w:eastAsia="en-US"/>
                </w:rPr>
                <w:t xml:space="preserve">ОБЩЕСТВО С ОГРАНИЧЕННОЙ ОТВЕТСТВЕННОСТЬЮ "НОВОСТРОЙПРОЕКТ ФСК"</w:t>
              </w:r>
            </w:hyperlink>
            <w:r>
              <w:rPr>
                <w:b w:val="0"/>
                <w:bCs w:val="0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highlight w:val="white"/>
              </w:rPr>
            </w:r>
          </w:p>
          <w:p>
            <w:pPr>
              <w:ind w:firstLine="0"/>
              <w:jc w:val="center"/>
              <w:rPr>
                <w:b w:val="0"/>
                <w:bCs w:val="0"/>
                <w:sz w:val="20"/>
                <w:szCs w:val="20"/>
                <w:highlight w:val="white"/>
              </w:rPr>
            </w:pPr>
            <w:r>
              <w:rPr>
                <w:b w:val="0"/>
                <w:bCs w:val="0"/>
                <w:sz w:val="20"/>
                <w:szCs w:val="20"/>
                <w:highlight w:val="white"/>
              </w:rPr>
            </w:r>
            <w:r>
              <w:rPr>
                <w:b w:val="0"/>
                <w:bCs w:val="0"/>
                <w:sz w:val="20"/>
                <w:szCs w:val="20"/>
                <w:highlight w:val="white"/>
              </w:rPr>
            </w:r>
            <w:r>
              <w:rPr>
                <w:b w:val="0"/>
                <w:bCs w:val="0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4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widowControl/>
              <w:rPr>
                <w:b w:val="0"/>
                <w:bCs w:val="0"/>
                <w:sz w:val="20"/>
                <w:szCs w:val="20"/>
                <w:highlight w:val="white"/>
              </w:rPr>
            </w:pPr>
            <w:r>
              <w:rPr>
                <w:b w:val="0"/>
                <w:bCs w:val="0"/>
                <w:sz w:val="20"/>
                <w:szCs w:val="20"/>
                <w:highlight w:val="white"/>
              </w:rPr>
              <w:t xml:space="preserve">Признать соответствующ</w:t>
            </w:r>
            <w:r>
              <w:rPr>
                <w:b w:val="0"/>
                <w:bCs w:val="0"/>
                <w:sz w:val="20"/>
                <w:szCs w:val="20"/>
                <w:highlight w:val="white"/>
              </w:rPr>
              <w:t xml:space="preserve">им</w:t>
            </w:r>
            <w:r>
              <w:rPr>
                <w:b w:val="0"/>
                <w:bCs w:val="0"/>
                <w:sz w:val="20"/>
                <w:szCs w:val="20"/>
                <w:highlight w:val="white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  <w:highlight w:val="white"/>
              </w:rPr>
              <w:t xml:space="preserve">требованиям Извещения о закупке</w:t>
            </w:r>
            <w:r>
              <w:rPr>
                <w:b w:val="0"/>
                <w:bCs w:val="0"/>
                <w:sz w:val="20"/>
                <w:szCs w:val="20"/>
                <w:highlight w:val="white"/>
              </w:rPr>
            </w:r>
            <w:r>
              <w:rPr>
                <w:b w:val="0"/>
                <w:bCs w:val="0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widowControl/>
              <w:rPr>
                <w:b w:val="0"/>
                <w:bCs w:val="0"/>
                <w:sz w:val="20"/>
                <w:szCs w:val="20"/>
                <w:highlight w:val="white"/>
              </w:rPr>
            </w:pPr>
            <w:r>
              <w:rPr>
                <w:b w:val="0"/>
                <w:bCs w:val="0"/>
                <w:sz w:val="20"/>
                <w:szCs w:val="20"/>
                <w:highlight w:val="white"/>
              </w:rPr>
              <w:t xml:space="preserve">-</w:t>
            </w:r>
            <w:r>
              <w:rPr>
                <w:b w:val="0"/>
                <w:bCs w:val="0"/>
                <w:sz w:val="20"/>
                <w:szCs w:val="20"/>
                <w:highlight w:val="white"/>
              </w:rPr>
            </w:r>
            <w:r>
              <w:rPr>
                <w:b w:val="0"/>
                <w:bCs w:val="0"/>
                <w:sz w:val="20"/>
                <w:szCs w:val="20"/>
                <w:highlight w:val="white"/>
              </w:rPr>
            </w:r>
          </w:p>
        </w:tc>
      </w:tr>
    </w:tbl>
    <w:p>
      <w:pPr>
        <w:ind w:right="1" w:firstLine="0"/>
        <w:rPr>
          <w:highlight w:val="white"/>
        </w:rPr>
      </w:pPr>
      <w:r>
        <w:t xml:space="preserve">  </w:t>
      </w:r>
      <w:r>
        <w:t xml:space="preserve"> </w:t>
      </w:r>
      <w:r>
        <w:rPr>
          <w:highlight w:val="white"/>
        </w:rPr>
        <w:t xml:space="preserve"> </w:t>
      </w:r>
      <w:r>
        <w:rPr>
          <w:highlight w:val="white"/>
        </w:rPr>
      </w:r>
    </w:p>
    <w:p>
      <w:pPr>
        <w:ind w:firstLine="0"/>
        <w:rPr>
          <w:iCs/>
          <w:highlight w:val="white"/>
        </w:rPr>
      </w:pPr>
      <w:r>
        <w:rPr>
          <w:highlight w:val="white"/>
        </w:rPr>
        <w:t xml:space="preserve">    </w:t>
      </w:r>
      <w:r>
        <w:rPr>
          <w:highlight w:val="white"/>
        </w:rPr>
        <w:t xml:space="preserve"> </w:t>
      </w:r>
      <w:r>
        <w:rPr>
          <w:highlight w:val="white"/>
        </w:rPr>
        <w:t xml:space="preserve"> </w:t>
      </w:r>
      <w:r>
        <w:rPr>
          <w:highlight w:val="white"/>
        </w:rPr>
        <w:t xml:space="preserve">В связи с тем, что по окончании срока подачи заявок была подана только одна заявка, на основании п.7.5.1. а) Единого стандарта закупок ПАО </w:t>
      </w:r>
      <w:r>
        <w:rPr>
          <w:highlight w:val="white"/>
          <w:lang w:eastAsia="zh-CN" w:bidi="hi-IN"/>
        </w:rPr>
        <w:t xml:space="preserve">"Россети"</w:t>
      </w:r>
      <w:r>
        <w:rPr>
          <w:highlight w:val="white"/>
        </w:rPr>
        <w:t xml:space="preserve">, </w:t>
      </w:r>
      <w:r>
        <w:rPr>
          <w:highlight w:val="white"/>
        </w:rPr>
        <w:t xml:space="preserve">закупка в электронном магазине </w:t>
      </w:r>
      <w:r>
        <w:rPr>
          <w:highlight w:val="white"/>
        </w:rPr>
        <w:t xml:space="preserve">на право заключения </w:t>
      </w:r>
      <w:r>
        <w:rPr>
          <w:iCs/>
          <w:highlight w:val="white"/>
        </w:rPr>
        <w:t xml:space="preserve">договора </w:t>
      </w:r>
      <w:r>
        <w:rPr>
          <w:highlight w:val="white"/>
        </w:rPr>
        <w:t xml:space="preserve">на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Выполнение работ по ремонту з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pacing w:val="-2"/>
          <w:sz w:val="24"/>
          <w:szCs w:val="24"/>
          <w:highlight w:val="white"/>
          <w:lang w:eastAsia="ru-RU"/>
        </w:rPr>
        <w:t xml:space="preserve">даний объектов Новгородской, Псковской и Смоленской ГПС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 для нужд филиала ПАО "Россети" - Новгородское ПМЭС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 </w:t>
      </w:r>
      <w:r>
        <w:rPr>
          <w:iCs/>
          <w:highlight w:val="white"/>
        </w:rPr>
        <w:t xml:space="preserve">признается несостоявшейся.</w:t>
      </w:r>
      <w:r>
        <w:rPr>
          <w:iCs/>
          <w:highlight w:val="white"/>
        </w:rPr>
      </w:r>
      <w:r>
        <w:rPr>
          <w:iCs/>
          <w:highlight w:val="white"/>
        </w:rPr>
      </w:r>
    </w:p>
    <w:p>
      <w:pPr>
        <w:ind w:firstLine="0"/>
        <w:rPr>
          <w:bCs/>
          <w:iCs/>
        </w:rPr>
      </w:pPr>
      <w:r>
        <w:rPr>
          <w:bCs/>
          <w:iCs/>
        </w:rPr>
      </w:r>
      <w:r>
        <w:rPr>
          <w:bCs/>
          <w:iCs/>
        </w:rPr>
      </w:r>
      <w:r>
        <w:rPr>
          <w:bCs/>
          <w:iCs/>
        </w:rPr>
      </w:r>
    </w:p>
    <w:p>
      <w:pPr>
        <w:ind w:firstLine="0"/>
        <w:jc w:val="both"/>
        <w:tabs>
          <w:tab w:val="left" w:pos="-567" w:leader="none"/>
        </w:tabs>
        <w:rPr>
          <w:rFonts w:ascii="Times New Roman" w:hAnsi="Times New Roman" w:cs="Times New Roman"/>
          <w:i w:val="0"/>
          <w:iCs w:val="0"/>
          <w:sz w:val="24"/>
          <w:szCs w:val="24"/>
          <w:highlight w:val="white"/>
        </w:rPr>
      </w:pPr>
      <w:r>
        <w:t xml:space="preserve">2.   </w:t>
      </w:r>
      <w:r>
        <w:rPr>
          <w:sz w:val="24"/>
          <w:szCs w:val="24"/>
          <w:highlight w:val="white"/>
        </w:rPr>
        <w:t xml:space="preserve">   </w:t>
      </w:r>
      <w:r>
        <w:rPr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white"/>
        </w:rPr>
        <w:t xml:space="preserve"> Договорному  отделу ф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white"/>
        </w:rPr>
        <w:t xml:space="preserve">илиала  ПАО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white"/>
        </w:rPr>
        <w:t xml:space="preserve">"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white"/>
        </w:rPr>
        <w:t xml:space="preserve">Россети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white"/>
        </w:rPr>
        <w:t xml:space="preserve">"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white"/>
        </w:rPr>
        <w:t xml:space="preserve"> – МЭС-Северо- Запада И.В. Потёмкиной:</w:t>
      </w:r>
      <w:r>
        <w:rPr>
          <w:rFonts w:ascii="Times New Roman" w:hAnsi="Times New Roman" w:cs="Times New Roman"/>
          <w:i w:val="0"/>
          <w:iCs w:val="0"/>
          <w:sz w:val="24"/>
          <w:szCs w:val="24"/>
          <w:highlight w:val="white"/>
        </w:rPr>
      </w:r>
      <w:r>
        <w:rPr>
          <w:rFonts w:ascii="Times New Roman" w:hAnsi="Times New Roman" w:cs="Times New Roman"/>
          <w:i w:val="0"/>
          <w:iCs w:val="0"/>
          <w:sz w:val="24"/>
          <w:szCs w:val="24"/>
          <w:highlight w:val="white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  <w:highlight w:val="white"/>
        </w:rPr>
        <w:t xml:space="preserve">     </w:t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  <w:highlight w:val="white"/>
        </w:rPr>
        <w:t xml:space="preserve">   2.1. </w:t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  <w:highlight w:val="white"/>
        </w:rPr>
        <w:t xml:space="preserve">В срок не позднее, чем 10 (десять) дней с даты размещения на официальном сайте</w:t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  <w:highlight w:val="white"/>
        </w:rPr>
        <w:t xml:space="preserve"> Единой информационной системы в сфере закупок настоящего протокола, </w:t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  <w:highlight w:val="white"/>
        </w:rPr>
        <w:t xml:space="preserve">заключить с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</w:r>
      <w:hyperlink r:id="rId17" w:tooltip="https://msp-shop.rts-tender.ru/company/0e8a412f-c1b2-4c50-9731-fc6145aea9d4/info" w:history="1">
        <w:r>
          <w:rPr>
            <w:rFonts w:ascii="Times New Roman" w:hAnsi="Times New Roman" w:eastAsia="Times New Roman" w:cs="Times New Roman"/>
            <w:b/>
            <w:bCs/>
            <w:i w:val="0"/>
            <w:iCs w:val="0"/>
            <w:color w:val="000000" w:themeColor="text1"/>
            <w:sz w:val="24"/>
            <w:szCs w:val="24"/>
            <w:highlight w:val="white"/>
            <w:lang w:eastAsia="en-US"/>
          </w:rPr>
          <w:t xml:space="preserve">ОБЩЕСТВО С ОГРАНИЧЕННОЙ ОТВЕТСТВЕННОСТЬЮ "НОВОСТРОЙПРОЕКТ ФСК"</w:t>
        </w:r>
      </w:hyperlink>
      <w:r>
        <w:rPr>
          <w:rFonts w:ascii="Times New Roman" w:hAnsi="Times New Roman" w:eastAsia="Times New Roman" w:cs="Times New Roman"/>
          <w:b w:val="0"/>
          <w:i w:val="0"/>
          <w:iCs w:val="0"/>
          <w:strike w:val="0"/>
          <w:color w:val="000000"/>
          <w:sz w:val="24"/>
          <w:szCs w:val="24"/>
          <w:highlight w:val="white"/>
          <w:u w:val="none"/>
          <w:vertAlign w:val="baseli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white"/>
        </w:rPr>
        <w:t xml:space="preserve">договор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white"/>
        </w:rPr>
        <w:t xml:space="preserve">на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Выполнение работ по ремонту з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pacing w:val="-2"/>
          <w:sz w:val="24"/>
          <w:szCs w:val="24"/>
          <w:highlight w:val="white"/>
          <w:lang w:eastAsia="ru-RU"/>
        </w:rPr>
        <w:t xml:space="preserve">даний объектов Новгородской, Псковской и Смоленской ГПС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 для нужд филиала ПАО "Россети" - Новгородское ПМЭС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white"/>
        </w:rPr>
        <w:t xml:space="preserve">сумму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white"/>
        </w:rPr>
        <w:t xml:space="preserve">4 990 000,00 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white"/>
        </w:rPr>
        <w:t xml:space="preserve"> ( Четыре миллиона  девятьсот девяносто тысяч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white"/>
        </w:rPr>
        <w:t xml:space="preserve">рублей 00 копеек)  с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white"/>
        </w:rPr>
        <w:t xml:space="preserve">НДС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ind w:firstLine="0"/>
        <w:tabs>
          <w:tab w:val="left" w:pos="6600" w:leader="none"/>
        </w:tabs>
      </w:pPr>
      <w:r/>
      <w:r/>
    </w:p>
    <w:tbl>
      <w:tblPr>
        <w:tblW w:w="5086" w:type="pct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862"/>
        <w:gridCol w:w="2909"/>
        <w:gridCol w:w="2326"/>
        <w:gridCol w:w="3503"/>
      </w:tblGrid>
      <w:tr>
        <w:tblPrEx/>
        <w:trPr>
          <w:cantSplit/>
          <w:trHeight w:val="1620"/>
        </w:trPr>
        <w:tc>
          <w:tcPr>
            <w:tcW w:w="1862" w:type="dxa"/>
            <w:vAlign w:val="center"/>
            <w:textDirection w:val="lrTb"/>
            <w:noWrap w:val="false"/>
          </w:tcPr>
          <w:p>
            <w:pPr>
              <w:ind w:firstLine="9"/>
            </w:pPr>
            <w:r>
              <w:t xml:space="preserve">Председатель</w:t>
            </w:r>
            <w:r/>
          </w:p>
          <w:p>
            <w:pPr>
              <w:ind w:firstLine="9"/>
            </w:pPr>
            <w:r>
              <w:t xml:space="preserve">закупочной комиссии</w:t>
            </w:r>
            <w:r>
              <w:rPr>
                <w:lang w:val="en-US"/>
              </w:rPr>
              <w:t xml:space="preserve">:</w:t>
            </w:r>
            <w:r/>
          </w:p>
        </w:tc>
        <w:tc>
          <w:tcPr>
            <w:tcW w:w="2909" w:type="dxa"/>
            <w:vAlign w:val="center"/>
            <w:textDirection w:val="lrTb"/>
            <w:noWrap w:val="false"/>
          </w:tcPr>
          <w:p>
            <w:pPr>
              <w:rPr>
                <w:u w:val="single"/>
              </w:rPr>
            </w:pPr>
            <w:r>
              <w:rPr>
                <w:u w:val="single"/>
              </w:rPr>
            </w:r>
            <w:r>
              <w:rPr>
                <w:u w:val="single"/>
              </w:rPr>
            </w:r>
            <w:r>
              <w:rPr>
                <w:u w:val="single"/>
              </w:rPr>
            </w:r>
          </w:p>
        </w:tc>
        <w:tc>
          <w:tcPr>
            <w:tcW w:w="2326" w:type="dxa"/>
            <w:vAlign w:val="center"/>
            <w:textDirection w:val="lrTb"/>
            <w:noWrap w:val="false"/>
          </w:tcPr>
          <w:p>
            <w:pPr>
              <w:ind w:firstLine="170"/>
              <w:jc w:val="left"/>
            </w:pPr>
            <w:r>
              <w:t xml:space="preserve">Е.С. Воробьёва</w:t>
            </w:r>
            <w:r/>
          </w:p>
        </w:tc>
        <w:tc>
          <w:tcPr>
            <w:tcW w:w="3503" w:type="dxa"/>
            <w:vAlign w:val="center"/>
            <w:textDirection w:val="lrTb"/>
            <w:noWrap w:val="false"/>
          </w:tcPr>
          <w:p>
            <w:pPr>
              <w:ind w:right="-102" w:firstLine="31"/>
              <w:jc w:val="left"/>
            </w:pPr>
            <w:r>
              <w:t xml:space="preserve">Заместитель генерального директора по экономике и финансам филиала</w:t>
            </w:r>
            <w:r/>
          </w:p>
          <w:p>
            <w:pPr>
              <w:ind w:right="-102" w:firstLine="31"/>
              <w:jc w:val="left"/>
            </w:pPr>
            <w:r>
              <w:t xml:space="preserve">ПАО </w:t>
            </w:r>
            <w:r>
              <w:rPr>
                <w:lang w:eastAsia="zh-CN" w:bidi="hi-IN"/>
              </w:rPr>
              <w:t xml:space="preserve">"</w:t>
            </w:r>
            <w:r>
              <w:rPr>
                <w:lang w:eastAsia="zh-CN" w:bidi="hi-IN"/>
              </w:rPr>
              <w:t xml:space="preserve">Р</w:t>
            </w:r>
            <w:r>
              <w:rPr>
                <w:lang w:eastAsia="zh-CN" w:bidi="hi-IN"/>
              </w:rPr>
              <w:t xml:space="preserve">оссети</w:t>
            </w:r>
            <w:r>
              <w:rPr>
                <w:lang w:eastAsia="zh-CN" w:bidi="hi-IN"/>
              </w:rPr>
              <w:t xml:space="preserve">" </w:t>
            </w:r>
            <w:r>
              <w:t xml:space="preserve">-</w:t>
            </w:r>
            <w:r/>
          </w:p>
          <w:p>
            <w:pPr>
              <w:ind w:right="-102" w:firstLine="31"/>
              <w:jc w:val="left"/>
            </w:pPr>
            <w:r>
              <w:t xml:space="preserve">МЭС Северо-Запада</w:t>
            </w:r>
            <w:r/>
          </w:p>
        </w:tc>
      </w:tr>
      <w:tr>
        <w:tblPrEx/>
        <w:trPr>
          <w:trHeight w:val="1493"/>
        </w:trPr>
        <w:tc>
          <w:tcPr>
            <w:tcW w:w="1862" w:type="dxa"/>
            <w:vAlign w:val="center"/>
            <w:textDirection w:val="lrTb"/>
            <w:noWrap w:val="false"/>
          </w:tcPr>
          <w:p>
            <w:pPr>
              <w:ind w:firstLine="9"/>
            </w:pPr>
            <w:r>
              <w:t xml:space="preserve">Секретарь </w:t>
            </w:r>
            <w:r/>
          </w:p>
          <w:p>
            <w:pPr>
              <w:ind w:firstLine="9"/>
              <w:rPr>
                <w:lang w:val="en-US"/>
              </w:rPr>
            </w:pPr>
            <w:r>
              <w:t xml:space="preserve">закупочной комиссии</w:t>
            </w:r>
            <w:r>
              <w:rPr>
                <w:lang w:val="en-US"/>
              </w:rPr>
              <w:t xml:space="preserve">: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2909" w:type="dxa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tcW w:w="2326" w:type="dxa"/>
            <w:vAlign w:val="center"/>
            <w:textDirection w:val="lrTb"/>
            <w:noWrap w:val="false"/>
          </w:tcPr>
          <w:p>
            <w:pPr>
              <w:ind w:firstLine="0"/>
            </w:pPr>
            <w:r>
              <w:t xml:space="preserve">   Н.В. Андреева</w:t>
            </w:r>
            <w:r/>
          </w:p>
        </w:tc>
        <w:tc>
          <w:tcPr>
            <w:tcW w:w="3503" w:type="dxa"/>
            <w:vAlign w:val="center"/>
            <w:textDirection w:val="lrTb"/>
            <w:noWrap w:val="false"/>
          </w:tcPr>
          <w:p>
            <w:pPr>
              <w:ind w:firstLine="0"/>
              <w:jc w:val="left"/>
            </w:pPr>
            <w:r>
              <w:t xml:space="preserve">Главный специалист отдела </w:t>
            </w:r>
            <w:r>
              <w:t xml:space="preserve">организации регламентированных </w:t>
            </w:r>
            <w:r>
              <w:t xml:space="preserve">закупок филиала  ПАО "Россети" - </w:t>
            </w:r>
            <w:r>
              <w:t xml:space="preserve">МЭС Северо-Запада</w:t>
            </w:r>
            <w:r/>
          </w:p>
        </w:tc>
      </w:tr>
    </w:tbl>
    <w:p>
      <w:pPr>
        <w:ind w:firstLine="0"/>
        <w:tabs>
          <w:tab w:val="left" w:pos="6600" w:leader="none"/>
        </w:tabs>
      </w:pPr>
      <w:r/>
      <w:r/>
    </w:p>
    <w:sectPr>
      <w:footerReference w:type="default" r:id="rId9"/>
      <w:footnotePr/>
      <w:endnotePr/>
      <w:type w:val="nextPage"/>
      <w:pgSz w:w="11906" w:h="16838" w:orient="portrait"/>
      <w:pgMar w:top="851" w:right="707" w:bottom="851" w:left="993" w:header="709" w:footer="333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  <w:sdt>
    <w:sdtPr>
      <w15:appearance w15:val="boundingBox"/>
      <w:id w:val="-895271"/>
      <w:docPartObj>
        <w:docPartGallery w:val="Page Numbers (Bottom of Page)"/>
        <w:docPartUnique w:val="true"/>
      </w:docPartObj>
      <w:rPr>
        <w:sz w:val="16"/>
        <w:szCs w:val="16"/>
      </w:rPr>
    </w:sdtPr>
    <w:sdtContent>
      <w:p>
        <w:pPr>
          <w:jc w:val="center"/>
          <w:rPr>
            <w:rFonts w:ascii="Times New Roman" w:hAnsi="Times New Roman" w:cs="Times New Roman"/>
            <w:b/>
            <w:bCs/>
            <w:sz w:val="24"/>
            <w:szCs w:val="24"/>
            <w:highlight w:val="white"/>
          </w:rPr>
        </w:pPr>
        <w:r>
          <w:rPr>
            <w:rFonts w:ascii="Times New Roman" w:hAnsi="Times New Roman" w:eastAsia="Times New Roman" w:cs="Times New Roman"/>
            <w:b w:val="0"/>
            <w:bCs w:val="0"/>
            <w:sz w:val="16"/>
            <w:szCs w:val="16"/>
            <w:highlight w:val="white"/>
          </w:rPr>
          <w:t xml:space="preserve">ПРОТОКОЛ №</w:t>
        </w:r>
        <w:r>
          <w:rPr>
            <w:rFonts w:ascii="Times New Roman" w:hAnsi="Times New Roman" w:eastAsia="Times New Roman" w:cs="Times New Roman"/>
            <w:b w:val="0"/>
            <w:bCs w:val="0"/>
            <w:sz w:val="16"/>
            <w:szCs w:val="16"/>
            <w:highlight w:val="white"/>
          </w:rPr>
          <w:t xml:space="preserve"> </w:t>
        </w:r>
        <w:r>
          <w:rPr>
            <w:rFonts w:ascii="Times New Roman" w:hAnsi="Times New Roman" w:eastAsia="Times New Roman" w:cs="Times New Roman"/>
            <w:b w:val="0"/>
            <w:bCs w:val="0"/>
            <w:sz w:val="16"/>
            <w:szCs w:val="16"/>
            <w:highlight w:val="white"/>
          </w:rPr>
          <w:t xml:space="preserve">1</w:t>
        </w:r>
        <w:r>
          <w:rPr>
            <w:rFonts w:ascii="Times New Roman" w:hAnsi="Times New Roman" w:eastAsia="Times New Roman" w:cs="Times New Roman"/>
            <w:b w:val="0"/>
            <w:bCs w:val="0"/>
            <w:sz w:val="16"/>
            <w:szCs w:val="16"/>
            <w:highlight w:val="white"/>
          </w:rPr>
          <w:t xml:space="preserve">/</w:t>
        </w:r>
        <w:r>
          <w:rPr>
            <w:rFonts w:ascii="Times New Roman" w:hAnsi="Times New Roman" w:eastAsia="Times New Roman" w:cs="Times New Roman"/>
            <w:b w:val="0"/>
            <w:bCs w:val="0"/>
            <w:sz w:val="16"/>
            <w:szCs w:val="16"/>
            <w:highlight w:val="white"/>
          </w:rPr>
          <w:t xml:space="preserve">9690834</w:t>
        </w:r>
        <w:r>
          <w:rPr>
            <w:rFonts w:ascii="Times New Roman" w:hAnsi="Times New Roman" w:cs="Times New Roman"/>
            <w:b w:val="0"/>
            <w:bCs w:val="0"/>
            <w:sz w:val="16"/>
            <w:szCs w:val="16"/>
            <w:highlight w:val="white"/>
          </w:rPr>
        </w:r>
        <w:r>
          <w:rPr>
            <w:rFonts w:ascii="Times New Roman" w:hAnsi="Times New Roman" w:cs="Times New Roman"/>
            <w:b w:val="0"/>
            <w:bCs w:val="0"/>
            <w:sz w:val="16"/>
            <w:szCs w:val="16"/>
            <w:highlight w:val="white"/>
          </w:rPr>
        </w:r>
      </w:p>
      <w:p>
        <w:pPr>
          <w:pStyle w:val="803"/>
          <w:jc w:val="center"/>
          <w:rPr>
            <w:rFonts w:ascii="Times New Roman" w:hAnsi="Times New Roman" w:cs="Times New Roman"/>
            <w:b/>
            <w:bCs/>
            <w:i/>
            <w:iCs/>
            <w:color w:val="000000" w:themeColor="text1"/>
            <w:sz w:val="24"/>
            <w:szCs w:val="24"/>
            <w:highlight w:val="yellow"/>
          </w:rPr>
        </w:pP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z w:val="16"/>
            <w:szCs w:val="16"/>
            <w:highlight w:val="white"/>
          </w:rPr>
          <w:t xml:space="preserve">з</w:t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z w:val="16"/>
            <w:szCs w:val="16"/>
            <w:highlight w:val="white"/>
          </w:rPr>
          <w:t xml:space="preserve">аочного </w:t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z w:val="16"/>
            <w:szCs w:val="16"/>
            <w:highlight w:val="white"/>
          </w:rPr>
          <w:t xml:space="preserve">заседания </w:t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z w:val="16"/>
            <w:szCs w:val="16"/>
            <w:highlight w:val="white"/>
          </w:rPr>
          <w:t xml:space="preserve">Закупочной</w:t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z w:val="16"/>
            <w:szCs w:val="16"/>
            <w:highlight w:val="white"/>
          </w:rPr>
          <w:t xml:space="preserve"> комиссии</w:t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z w:val="16"/>
            <w:szCs w:val="16"/>
            <w:highlight w:val="white"/>
          </w:rPr>
          <w:t xml:space="preserve"> по </w:t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z w:val="16"/>
            <w:szCs w:val="16"/>
            <w:highlight w:val="white"/>
          </w:rPr>
          <w:t xml:space="preserve">подведению итогов</w:t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z w:val="16"/>
            <w:szCs w:val="16"/>
            <w:highlight w:val="white"/>
          </w:rPr>
          <w:t xml:space="preserve"> </w:t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z w:val="16"/>
            <w:szCs w:val="16"/>
            <w:highlight w:val="white"/>
          </w:rPr>
          <w:t xml:space="preserve">закупки в электронном магазине на право заключения договора на </w:t>
        </w:r>
        <w:r>
          <w:rPr>
            <w:rFonts w:ascii="Times New Roman" w:hAnsi="Times New Roman" w:cs="Times New Roman"/>
            <w:b w:val="0"/>
            <w:bCs w:val="0"/>
            <w:i w:val="0"/>
            <w:iCs w:val="0"/>
            <w:color w:val="000000" w:themeColor="text1"/>
            <w:sz w:val="16"/>
            <w:szCs w:val="16"/>
            <w:highlight w:val="white"/>
          </w:rPr>
          <w:t xml:space="preserve">Выполнение работ по ремонту з</w:t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pacing w:val="-2"/>
            <w:sz w:val="16"/>
            <w:szCs w:val="16"/>
            <w:lang w:eastAsia="ru-RU"/>
          </w:rPr>
          <w:t xml:space="preserve">даний объектов Новгородской, Псковской и Смоленской ГПС </w:t>
        </w:r>
        <w:r>
          <w:rPr>
            <w:rFonts w:ascii="Times New Roman" w:hAnsi="Times New Roman" w:cs="Times New Roman"/>
            <w:b w:val="0"/>
            <w:bCs w:val="0"/>
            <w:i w:val="0"/>
            <w:iCs w:val="0"/>
            <w:color w:val="000000" w:themeColor="text1"/>
            <w:sz w:val="16"/>
            <w:szCs w:val="16"/>
            <w:highlight w:val="white"/>
          </w:rPr>
          <w:t xml:space="preserve"> для нужд филиала ПАО "Россети" - Новгородское ПМЭС</w:t>
        </w:r>
        <w:r>
          <w:rPr>
            <w:rFonts w:ascii="Times New Roman" w:hAnsi="Times New Roman" w:cs="Times New Roman"/>
            <w:b w:val="0"/>
            <w:bCs w:val="0"/>
            <w:i w:val="0"/>
            <w:iCs w:val="0"/>
            <w:color w:val="000000" w:themeColor="text1"/>
            <w:sz w:val="16"/>
            <w:szCs w:val="16"/>
            <w:highlight w:val="white"/>
          </w:rPr>
          <w:t xml:space="preserve">.</w:t>
        </w:r>
        <w:r>
          <w:rPr>
            <w:rFonts w:ascii="Times New Roman" w:hAnsi="Times New Roman" w:cs="Times New Roman"/>
            <w:b w:val="0"/>
            <w:bCs w:val="0"/>
            <w:i/>
            <w:iCs/>
            <w:color w:val="000000" w:themeColor="text1"/>
            <w:sz w:val="16"/>
            <w:szCs w:val="16"/>
            <w:highlight w:val="yellow"/>
          </w:rPr>
        </w:r>
        <w:r>
          <w:rPr>
            <w:rFonts w:ascii="Times New Roman" w:hAnsi="Times New Roman" w:cs="Times New Roman"/>
            <w:b w:val="0"/>
            <w:bCs w:val="0"/>
            <w:i/>
            <w:iCs/>
            <w:color w:val="000000" w:themeColor="text1"/>
            <w:sz w:val="16"/>
            <w:szCs w:val="16"/>
            <w:highlight w:val="yellow"/>
          </w:rPr>
        </w:r>
      </w:p>
      <w:p>
        <w:pPr>
          <w:pStyle w:val="803"/>
          <w:jc w:val="center"/>
          <w:rPr>
            <w:rFonts w:ascii="Times New Roman" w:hAnsi="Times New Roman" w:cs="Times New Roman"/>
            <w:b/>
            <w:bCs/>
            <w:i w:val="0"/>
            <w:iCs w:val="0"/>
            <w:color w:val="000000" w:themeColor="text1"/>
            <w:sz w:val="24"/>
            <w:szCs w:val="24"/>
            <w:highlight w:val="magenta"/>
          </w:rPr>
        </w:pPr>
        <w:r>
          <w:rPr>
            <w:rFonts w:ascii="Times New Roman" w:hAnsi="Times New Roman" w:cs="Times New Roman"/>
            <w:b/>
            <w:bCs/>
            <w:i w:val="0"/>
            <w:iCs w:val="0"/>
            <w:color w:val="000000" w:themeColor="text1"/>
            <w:sz w:val="24"/>
            <w:szCs w:val="24"/>
            <w:highlight w:val="magenta"/>
          </w:rPr>
        </w:r>
      </w:p>
      <w:p>
        <w:pPr>
          <w:ind w:firstLine="0"/>
          <w:jc w:val="center"/>
          <w:rPr>
            <w:bCs/>
            <w:i w:val="0"/>
            <w:iCs w:val="0"/>
            <w:sz w:val="16"/>
            <w:szCs w:val="16"/>
          </w:rPr>
        </w:pPr>
        <w:r>
          <w:rPr>
            <w:bCs/>
            <w:i w:val="0"/>
            <w:iCs w:val="0"/>
            <w:sz w:val="16"/>
            <w:szCs w:val="16"/>
          </w:rPr>
        </w:r>
        <w:r>
          <w:rPr>
            <w:bCs/>
            <w:i w:val="0"/>
            <w:iCs w:val="0"/>
            <w:sz w:val="16"/>
            <w:szCs w:val="16"/>
          </w:rPr>
        </w:r>
        <w:r>
          <w:rPr>
            <w:bCs/>
            <w:i w:val="0"/>
            <w:iCs w:val="0"/>
            <w:sz w:val="16"/>
            <w:szCs w:val="16"/>
          </w:rPr>
        </w:r>
      </w:p>
      <w:p>
        <w:pPr>
          <w:jc w:val="center"/>
          <w:rPr>
            <w:b w:val="0"/>
            <w:bCs w:val="0"/>
            <w:sz w:val="16"/>
            <w:szCs w:val="16"/>
            <w:highlight w:val="green"/>
          </w:rPr>
        </w:pPr>
        <w:r>
          <w:rPr>
            <w:b w:val="0"/>
            <w:bCs w:val="0"/>
            <w:sz w:val="16"/>
            <w:szCs w:val="16"/>
            <w:highlight w:val="green"/>
          </w:rPr>
        </w:r>
        <w:r>
          <w:rPr>
            <w:b w:val="0"/>
            <w:bCs w:val="0"/>
            <w:sz w:val="16"/>
            <w:szCs w:val="16"/>
            <w:highlight w:val="green"/>
          </w:rPr>
        </w:r>
        <w:r>
          <w:rPr>
            <w:b w:val="0"/>
            <w:bCs w:val="0"/>
            <w:sz w:val="16"/>
            <w:szCs w:val="16"/>
            <w:highlight w:val="green"/>
          </w:rPr>
        </w:r>
      </w:p>
      <w:p>
        <w:pPr>
          <w:pStyle w:val="978"/>
          <w:ind w:firstLine="0"/>
          <w:jc w:val="center"/>
          <w:rPr>
            <w:sz w:val="16"/>
            <w:szCs w:val="16"/>
          </w:rPr>
        </w:pPr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 xml:space="preserve">PAGE   \* MERGEFORMAT</w:instrText>
        </w:r>
        <w:r>
          <w:rPr>
            <w:sz w:val="16"/>
            <w:szCs w:val="16"/>
          </w:rPr>
          <w:fldChar w:fldCharType="separate"/>
        </w:r>
        <w:r>
          <w:rPr>
            <w:sz w:val="16"/>
            <w:szCs w:val="16"/>
          </w:rPr>
          <w:t xml:space="preserve">2</w:t>
        </w:r>
        <w:r>
          <w:rPr>
            <w:sz w:val="16"/>
            <w:szCs w:val="16"/>
          </w:rPr>
          <w:fldChar w:fldCharType="end"/>
        </w:r>
        <w:r>
          <w:rPr>
            <w:sz w:val="16"/>
            <w:szCs w:val="16"/>
          </w:rPr>
        </w:r>
        <w:r>
          <w:rPr>
            <w:sz w:val="16"/>
            <w:szCs w:val="16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sz w:val="24"/>
        <w:szCs w:val="24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  <w:rPr>
        <w:rFonts w:hint="default"/>
        <w:b/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</w:pPr>
      <w:rPr>
        <w:rFonts w:ascii="Times New Roman" w:hAnsi="Times New Roman" w:eastAsia="Times New Roman" w:cs="Times New Roman"/>
      </w:rPr>
    </w:lvl>
    <w:lvl w:ilvl="2">
      <w:start w:val="1"/>
      <w:numFmt w:val="bullet"/>
      <w:isLgl w:val="false"/>
      <w:suff w:val="tab"/>
      <w:lvlText w:val=""/>
      <w:lvlJc w:val="left"/>
      <w:pPr>
        <w:ind w:left="2340" w:hanging="360"/>
      </w:pPr>
      <w:rPr>
        <w:rFonts w:hint="default" w:ascii="Symbol" w:hAnsi="Symbol" w:eastAsia="Times New Roman"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Zero"/>
      <w:isLgl w:val="false"/>
      <w:suff w:val="tab"/>
      <w:lvlText w:val="%1"/>
      <w:lvlJc w:val="left"/>
      <w:pPr>
        <w:ind w:left="1080" w:hanging="1080"/>
      </w:pPr>
      <w:rPr>
        <w:rFonts w:hint="default"/>
      </w:rPr>
    </w:lvl>
    <w:lvl w:ilvl="1">
      <w:start w:val="6"/>
      <w:numFmt w:val="decimalZero"/>
      <w:isLgl w:val="false"/>
      <w:suff w:val="tab"/>
      <w:lvlText w:val="%1.%2"/>
      <w:lvlJc w:val="left"/>
      <w:pPr>
        <w:ind w:left="1280" w:hanging="1080"/>
      </w:pPr>
      <w:rPr>
        <w:rFonts w:hint="default"/>
      </w:rPr>
    </w:lvl>
    <w:lvl w:ilvl="2">
      <w:start w:val="2021"/>
      <w:numFmt w:val="decimal"/>
      <w:isLgl w:val="false"/>
      <w:suff w:val="tab"/>
      <w:lvlText w:val="%1.%2.%3"/>
      <w:lvlJc w:val="left"/>
      <w:pPr>
        <w:ind w:left="1480" w:hanging="108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6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26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2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3760" w:hanging="2160"/>
      </w:pPr>
      <w:rPr>
        <w:rFonts w:hint="default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 w:val="false"/>
      <w:suff w:val="tab"/>
      <w:lvlText w:val="%2."/>
      <w:lvlJc w:val="left"/>
      <w:pPr>
        <w:ind w:left="1440" w:hanging="360"/>
      </w:pPr>
      <w:rPr>
        <w:rFonts w:hint="default" w:ascii="Times New Roman" w:hAnsi="Times New Roman" w:eastAsia="Times New Roman" w:cs="Times New Roman"/>
      </w:rPr>
    </w:lvl>
    <w:lvl w:ilvl="2">
      <w:start w:val="786"/>
      <w:numFmt w:val="decimal"/>
      <w:isLgl w:val="false"/>
      <w:suff w:val="tab"/>
      <w:lvlText w:val="%3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decimalZero"/>
      <w:isLgl w:val="false"/>
      <w:suff w:val="tab"/>
      <w:lvlText w:val="%1"/>
      <w:lvlJc w:val="left"/>
      <w:pPr>
        <w:ind w:left="1080" w:hanging="1080"/>
      </w:pPr>
      <w:rPr>
        <w:rFonts w:hint="default"/>
      </w:rPr>
    </w:lvl>
    <w:lvl w:ilvl="1">
      <w:start w:val="7"/>
      <w:numFmt w:val="decimalZero"/>
      <w:isLgl w:val="false"/>
      <w:suff w:val="tab"/>
      <w:lvlText w:val="%1.%2"/>
      <w:lvlJc w:val="left"/>
      <w:pPr>
        <w:ind w:left="1280" w:hanging="1080"/>
      </w:pPr>
      <w:rPr>
        <w:rFonts w:hint="default"/>
      </w:rPr>
    </w:lvl>
    <w:lvl w:ilvl="2">
      <w:start w:val="2021"/>
      <w:numFmt w:val="decimal"/>
      <w:isLgl w:val="false"/>
      <w:suff w:val="tab"/>
      <w:lvlText w:val="%1.%2.%3"/>
      <w:lvlJc w:val="left"/>
      <w:pPr>
        <w:ind w:left="1480" w:hanging="108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6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26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2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3760" w:hanging="2160"/>
      </w:pPr>
      <w:rPr>
        <w:rFonts w:hint="default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3"/>
  </w:num>
  <w:num w:numId="3">
    <w:abstractNumId w:val="9"/>
  </w:num>
  <w:num w:numId="4">
    <w:abstractNumId w:val="4"/>
  </w:num>
  <w:num w:numId="5">
    <w:abstractNumId w:val="16"/>
  </w:num>
  <w:num w:numId="6">
    <w:abstractNumId w:val="21"/>
  </w:num>
  <w:num w:numId="7">
    <w:abstractNumId w:val="1"/>
  </w:num>
  <w:num w:numId="8">
    <w:abstractNumId w:val="2"/>
  </w:num>
  <w:num w:numId="9">
    <w:abstractNumId w:val="20"/>
  </w:num>
  <w:num w:numId="10">
    <w:abstractNumId w:val="0"/>
  </w:num>
  <w:num w:numId="11">
    <w:abstractNumId w:val="5"/>
  </w:num>
  <w:num w:numId="12">
    <w:abstractNumId w:val="8"/>
  </w:num>
  <w:num w:numId="13">
    <w:abstractNumId w:val="10"/>
  </w:num>
  <w:num w:numId="14">
    <w:abstractNumId w:val="6"/>
  </w:num>
  <w:num w:numId="15">
    <w:abstractNumId w:val="14"/>
  </w:num>
  <w:num w:numId="16">
    <w:abstractNumId w:val="18"/>
  </w:num>
  <w:num w:numId="17">
    <w:abstractNumId w:val="19"/>
  </w:num>
  <w:num w:numId="18">
    <w:abstractNumId w:val="11"/>
  </w:num>
  <w:num w:numId="19">
    <w:abstractNumId w:val="7"/>
  </w:num>
  <w:num w:numId="20">
    <w:abstractNumId w:val="3"/>
  </w:num>
  <w:num w:numId="21">
    <w:abstractNumId w:val="17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6">
    <w:name w:val="Heading 1"/>
    <w:basedOn w:val="957"/>
    <w:next w:val="957"/>
    <w:link w:val="78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87">
    <w:name w:val="Heading 1 Char"/>
    <w:basedOn w:val="959"/>
    <w:link w:val="786"/>
    <w:uiPriority w:val="9"/>
    <w:rPr>
      <w:rFonts w:ascii="Arial" w:hAnsi="Arial" w:eastAsia="Arial" w:cs="Arial"/>
      <w:sz w:val="40"/>
      <w:szCs w:val="40"/>
    </w:rPr>
  </w:style>
  <w:style w:type="paragraph" w:styleId="788">
    <w:name w:val="Heading 2"/>
    <w:basedOn w:val="957"/>
    <w:next w:val="957"/>
    <w:link w:val="78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89">
    <w:name w:val="Heading 2 Char"/>
    <w:basedOn w:val="959"/>
    <w:link w:val="788"/>
    <w:uiPriority w:val="9"/>
    <w:rPr>
      <w:rFonts w:ascii="Arial" w:hAnsi="Arial" w:eastAsia="Arial" w:cs="Arial"/>
      <w:sz w:val="34"/>
    </w:rPr>
  </w:style>
  <w:style w:type="character" w:styleId="790">
    <w:name w:val="Heading 3 Char"/>
    <w:basedOn w:val="959"/>
    <w:link w:val="958"/>
    <w:uiPriority w:val="9"/>
    <w:rPr>
      <w:rFonts w:ascii="Arial" w:hAnsi="Arial" w:eastAsia="Arial" w:cs="Arial"/>
      <w:sz w:val="30"/>
      <w:szCs w:val="30"/>
    </w:rPr>
  </w:style>
  <w:style w:type="paragraph" w:styleId="791">
    <w:name w:val="Heading 4"/>
    <w:basedOn w:val="957"/>
    <w:next w:val="957"/>
    <w:link w:val="792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92">
    <w:name w:val="Heading 4 Char"/>
    <w:basedOn w:val="959"/>
    <w:link w:val="791"/>
    <w:uiPriority w:val="9"/>
    <w:rPr>
      <w:rFonts w:ascii="Arial" w:hAnsi="Arial" w:eastAsia="Arial" w:cs="Arial"/>
      <w:b/>
      <w:bCs/>
      <w:sz w:val="26"/>
      <w:szCs w:val="26"/>
    </w:rPr>
  </w:style>
  <w:style w:type="paragraph" w:styleId="793">
    <w:name w:val="Heading 5"/>
    <w:basedOn w:val="957"/>
    <w:next w:val="957"/>
    <w:link w:val="79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94">
    <w:name w:val="Heading 5 Char"/>
    <w:basedOn w:val="959"/>
    <w:link w:val="793"/>
    <w:uiPriority w:val="9"/>
    <w:rPr>
      <w:rFonts w:ascii="Arial" w:hAnsi="Arial" w:eastAsia="Arial" w:cs="Arial"/>
      <w:b/>
      <w:bCs/>
      <w:sz w:val="24"/>
      <w:szCs w:val="24"/>
    </w:rPr>
  </w:style>
  <w:style w:type="paragraph" w:styleId="795">
    <w:name w:val="Heading 6"/>
    <w:basedOn w:val="957"/>
    <w:next w:val="957"/>
    <w:link w:val="79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6">
    <w:name w:val="Heading 6 Char"/>
    <w:basedOn w:val="959"/>
    <w:link w:val="795"/>
    <w:uiPriority w:val="9"/>
    <w:rPr>
      <w:rFonts w:ascii="Arial" w:hAnsi="Arial" w:eastAsia="Arial" w:cs="Arial"/>
      <w:b/>
      <w:bCs/>
      <w:sz w:val="22"/>
      <w:szCs w:val="22"/>
    </w:rPr>
  </w:style>
  <w:style w:type="paragraph" w:styleId="797">
    <w:name w:val="Heading 7"/>
    <w:basedOn w:val="957"/>
    <w:next w:val="957"/>
    <w:link w:val="798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98">
    <w:name w:val="Heading 7 Char"/>
    <w:basedOn w:val="959"/>
    <w:link w:val="79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99">
    <w:name w:val="Heading 8"/>
    <w:basedOn w:val="957"/>
    <w:next w:val="957"/>
    <w:link w:val="80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00">
    <w:name w:val="Heading 8 Char"/>
    <w:basedOn w:val="959"/>
    <w:link w:val="799"/>
    <w:uiPriority w:val="9"/>
    <w:rPr>
      <w:rFonts w:ascii="Arial" w:hAnsi="Arial" w:eastAsia="Arial" w:cs="Arial"/>
      <w:i/>
      <w:iCs/>
      <w:sz w:val="22"/>
      <w:szCs w:val="22"/>
    </w:rPr>
  </w:style>
  <w:style w:type="paragraph" w:styleId="801">
    <w:name w:val="Heading 9"/>
    <w:basedOn w:val="957"/>
    <w:next w:val="957"/>
    <w:link w:val="80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02">
    <w:name w:val="Heading 9 Char"/>
    <w:basedOn w:val="959"/>
    <w:link w:val="801"/>
    <w:uiPriority w:val="9"/>
    <w:rPr>
      <w:rFonts w:ascii="Arial" w:hAnsi="Arial" w:eastAsia="Arial" w:cs="Arial"/>
      <w:i/>
      <w:iCs/>
      <w:sz w:val="21"/>
      <w:szCs w:val="21"/>
    </w:rPr>
  </w:style>
  <w:style w:type="paragraph" w:styleId="803">
    <w:name w:val="No Spacing"/>
    <w:uiPriority w:val="1"/>
    <w:qFormat/>
    <w:pPr>
      <w:spacing w:before="0" w:after="0" w:line="240" w:lineRule="auto"/>
    </w:pPr>
  </w:style>
  <w:style w:type="character" w:styleId="804">
    <w:name w:val="Title Char"/>
    <w:basedOn w:val="959"/>
    <w:link w:val="983"/>
    <w:uiPriority w:val="10"/>
    <w:rPr>
      <w:sz w:val="48"/>
      <w:szCs w:val="48"/>
    </w:rPr>
  </w:style>
  <w:style w:type="paragraph" w:styleId="805">
    <w:name w:val="Subtitle"/>
    <w:basedOn w:val="957"/>
    <w:next w:val="957"/>
    <w:link w:val="806"/>
    <w:uiPriority w:val="11"/>
    <w:qFormat/>
    <w:pPr>
      <w:spacing w:before="200" w:after="200"/>
    </w:pPr>
    <w:rPr>
      <w:sz w:val="24"/>
      <w:szCs w:val="24"/>
    </w:rPr>
  </w:style>
  <w:style w:type="character" w:styleId="806">
    <w:name w:val="Subtitle Char"/>
    <w:basedOn w:val="959"/>
    <w:link w:val="805"/>
    <w:uiPriority w:val="11"/>
    <w:rPr>
      <w:sz w:val="24"/>
      <w:szCs w:val="24"/>
    </w:rPr>
  </w:style>
  <w:style w:type="paragraph" w:styleId="807">
    <w:name w:val="Quote"/>
    <w:basedOn w:val="957"/>
    <w:next w:val="957"/>
    <w:link w:val="808"/>
    <w:uiPriority w:val="29"/>
    <w:qFormat/>
    <w:pPr>
      <w:ind w:left="720" w:right="720"/>
    </w:pPr>
    <w:rPr>
      <w:i/>
    </w:rPr>
  </w:style>
  <w:style w:type="character" w:styleId="808">
    <w:name w:val="Quote Char"/>
    <w:link w:val="807"/>
    <w:uiPriority w:val="29"/>
    <w:rPr>
      <w:i/>
    </w:rPr>
  </w:style>
  <w:style w:type="paragraph" w:styleId="809">
    <w:name w:val="Intense Quote"/>
    <w:basedOn w:val="957"/>
    <w:next w:val="957"/>
    <w:link w:val="81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0">
    <w:name w:val="Intense Quote Char"/>
    <w:link w:val="809"/>
    <w:uiPriority w:val="30"/>
    <w:rPr>
      <w:i/>
    </w:rPr>
  </w:style>
  <w:style w:type="character" w:styleId="811">
    <w:name w:val="Header Char"/>
    <w:basedOn w:val="959"/>
    <w:link w:val="962"/>
    <w:uiPriority w:val="99"/>
  </w:style>
  <w:style w:type="character" w:styleId="812">
    <w:name w:val="Footer Char"/>
    <w:basedOn w:val="959"/>
    <w:link w:val="978"/>
    <w:uiPriority w:val="99"/>
  </w:style>
  <w:style w:type="paragraph" w:styleId="813">
    <w:name w:val="Caption"/>
    <w:basedOn w:val="957"/>
    <w:next w:val="957"/>
    <w:link w:val="81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4">
    <w:name w:val="Caption Char"/>
    <w:basedOn w:val="959"/>
    <w:link w:val="813"/>
    <w:uiPriority w:val="35"/>
    <w:rPr>
      <w:b/>
      <w:bCs/>
      <w:color w:val="4f81bd" w:themeColor="accent1"/>
      <w:sz w:val="18"/>
      <w:szCs w:val="18"/>
    </w:rPr>
  </w:style>
  <w:style w:type="table" w:styleId="815">
    <w:name w:val="Table Grid Light"/>
    <w:basedOn w:val="96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6">
    <w:name w:val="Plain Table 1"/>
    <w:basedOn w:val="96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7">
    <w:name w:val="Plain Table 2"/>
    <w:basedOn w:val="96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8">
    <w:name w:val="Plain Table 3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9">
    <w:name w:val="Plain Table 4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Plain Table 5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1">
    <w:name w:val="Grid Table 1 Light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Grid Table 1 Light - Accent 1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Grid Table 1 Light - Accent 2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Grid Table 1 Light - Accent 3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Grid Table 1 Light - Accent 4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Grid Table 1 Light - Accent 5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Grid Table 1 Light - Accent 6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Grid Table 2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2 - Accent 1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2 - Accent 2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2 - Accent 3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2 - Accent 4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2 - Accent 5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2 - Accent 6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3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3 - Accent 1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3 - Accent 2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3 - Accent 3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3 - Accent 4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3 - Accent 5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3 - Accent 6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4"/>
    <w:basedOn w:val="9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3">
    <w:name w:val="Grid Table 4 - Accent 1"/>
    <w:basedOn w:val="9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44">
    <w:name w:val="Grid Table 4 - Accent 2"/>
    <w:basedOn w:val="9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45">
    <w:name w:val="Grid Table 4 - Accent 3"/>
    <w:basedOn w:val="9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46">
    <w:name w:val="Grid Table 4 - Accent 4"/>
    <w:basedOn w:val="9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47">
    <w:name w:val="Grid Table 4 - Accent 5"/>
    <w:basedOn w:val="9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8">
    <w:name w:val="Grid Table 4 - Accent 6"/>
    <w:basedOn w:val="9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9">
    <w:name w:val="Grid Table 5 Dark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0">
    <w:name w:val="Grid Table 5 Dark- Accent 1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1">
    <w:name w:val="Grid Table 5 Dark - Accent 2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2">
    <w:name w:val="Grid Table 5 Dark - Accent 3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53">
    <w:name w:val="Grid Table 5 Dark- Accent 4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54">
    <w:name w:val="Grid Table 5 Dark - Accent 5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55">
    <w:name w:val="Grid Table 5 Dark - Accent 6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56">
    <w:name w:val="Grid Table 6 Colorful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57">
    <w:name w:val="Grid Table 6 Colorful - Accent 1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58">
    <w:name w:val="Grid Table 6 Colorful - Accent 2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59">
    <w:name w:val="Grid Table 6 Colorful - Accent 3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60">
    <w:name w:val="Grid Table 6 Colorful - Accent 4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61">
    <w:name w:val="Grid Table 6 Colorful - Accent 5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2">
    <w:name w:val="Grid Table 6 Colorful - Accent 6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3">
    <w:name w:val="Grid Table 7 Colorful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Grid Table 7 Colorful - Accent 1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Grid Table 7 Colorful - Accent 2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Grid Table 7 Colorful - Accent 3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Grid Table 7 Colorful - Accent 4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Grid Table 7 Colorful - Accent 5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Grid Table 7 Colorful - Accent 6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List Table 1 Light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List Table 1 Light - Accent 1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List Table 1 Light - Accent 2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List Table 1 Light - Accent 3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List Table 1 Light - Accent 4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1 Light - Accent 5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List Table 1 Light - Accent 6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List Table 2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78">
    <w:name w:val="List Table 2 - Accent 1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79">
    <w:name w:val="List Table 2 - Accent 2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80">
    <w:name w:val="List Table 2 - Accent 3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81">
    <w:name w:val="List Table 2 - Accent 4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82">
    <w:name w:val="List Table 2 - Accent 5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83">
    <w:name w:val="List Table 2 - Accent 6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84">
    <w:name w:val="List Table 3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>
    <w:name w:val="List Table 3 - Accent 1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>
    <w:name w:val="List Table 3 - Accent 2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List Table 3 - Accent 3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List Table 3 - Accent 4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>
    <w:name w:val="List Table 3 - Accent 5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List Table 3 - Accent 6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List Table 4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4 - Accent 1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4 - Accent 2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4 - Accent 3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4 - Accent 4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4 - Accent 5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4 - Accent 6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List Table 5 Dark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9">
    <w:name w:val="List Table 5 Dark - Accent 1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0">
    <w:name w:val="List Table 5 Dark - Accent 2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1">
    <w:name w:val="List Table 5 Dark - Accent 3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2">
    <w:name w:val="List Table 5 Dark - Accent 4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3">
    <w:name w:val="List Table 5 Dark - Accent 5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4">
    <w:name w:val="List Table 5 Dark - Accent 6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5">
    <w:name w:val="List Table 6 Colorful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06">
    <w:name w:val="List Table 6 Colorful - Accent 1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07">
    <w:name w:val="List Table 6 Colorful - Accent 2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08">
    <w:name w:val="List Table 6 Colorful - Accent 3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09">
    <w:name w:val="List Table 6 Colorful - Accent 4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10">
    <w:name w:val="List Table 6 Colorful - Accent 5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11">
    <w:name w:val="List Table 6 Colorful - Accent 6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12">
    <w:name w:val="List Table 7 Colorful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13">
    <w:name w:val="List Table 7 Colorful - Accent 1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14">
    <w:name w:val="List Table 7 Colorful - Accent 2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15">
    <w:name w:val="List Table 7 Colorful - Accent 3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16">
    <w:name w:val="List Table 7 Colorful - Accent 4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17">
    <w:name w:val="List Table 7 Colorful - Accent 5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18">
    <w:name w:val="List Table 7 Colorful - Accent 6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19">
    <w:name w:val="Lined - Accent"/>
    <w:basedOn w:val="9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0">
    <w:name w:val="Lined - Accent 1"/>
    <w:basedOn w:val="9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1">
    <w:name w:val="Lined - Accent 2"/>
    <w:basedOn w:val="9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2">
    <w:name w:val="Lined - Accent 3"/>
    <w:basedOn w:val="9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3">
    <w:name w:val="Lined - Accent 4"/>
    <w:basedOn w:val="9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4">
    <w:name w:val="Lined - Accent 5"/>
    <w:basedOn w:val="9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25">
    <w:name w:val="Lined - Accent 6"/>
    <w:basedOn w:val="9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6">
    <w:name w:val="Bordered &amp; Lined - Accent"/>
    <w:basedOn w:val="9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7">
    <w:name w:val="Bordered &amp; Lined - Accent 1"/>
    <w:basedOn w:val="9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8">
    <w:name w:val="Bordered &amp; Lined - Accent 2"/>
    <w:basedOn w:val="9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9">
    <w:name w:val="Bordered &amp; Lined - Accent 3"/>
    <w:basedOn w:val="9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0">
    <w:name w:val="Bordered &amp; Lined - Accent 4"/>
    <w:basedOn w:val="9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1">
    <w:name w:val="Bordered &amp; Lined - Accent 5"/>
    <w:basedOn w:val="9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2">
    <w:name w:val="Bordered &amp; Lined - Accent 6"/>
    <w:basedOn w:val="9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3">
    <w:name w:val="Bordered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34">
    <w:name w:val="Bordered - Accent 1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35">
    <w:name w:val="Bordered - Accent 2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36">
    <w:name w:val="Bordered - Accent 3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37">
    <w:name w:val="Bordered - Accent 4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38">
    <w:name w:val="Bordered - Accent 5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39">
    <w:name w:val="Bordered - Accent 6"/>
    <w:basedOn w:val="9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940">
    <w:name w:val="footnote text"/>
    <w:basedOn w:val="957"/>
    <w:link w:val="941"/>
    <w:uiPriority w:val="99"/>
    <w:semiHidden/>
    <w:unhideWhenUsed/>
    <w:pPr>
      <w:spacing w:after="40" w:line="240" w:lineRule="auto"/>
    </w:pPr>
    <w:rPr>
      <w:sz w:val="18"/>
    </w:rPr>
  </w:style>
  <w:style w:type="character" w:styleId="941">
    <w:name w:val="Footnote Text Char"/>
    <w:link w:val="940"/>
    <w:uiPriority w:val="99"/>
    <w:rPr>
      <w:sz w:val="18"/>
    </w:rPr>
  </w:style>
  <w:style w:type="character" w:styleId="942">
    <w:name w:val="footnote reference"/>
    <w:basedOn w:val="959"/>
    <w:uiPriority w:val="99"/>
    <w:unhideWhenUsed/>
    <w:rPr>
      <w:vertAlign w:val="superscript"/>
    </w:rPr>
  </w:style>
  <w:style w:type="paragraph" w:styleId="943">
    <w:name w:val="endnote text"/>
    <w:basedOn w:val="957"/>
    <w:link w:val="944"/>
    <w:uiPriority w:val="99"/>
    <w:semiHidden/>
    <w:unhideWhenUsed/>
    <w:pPr>
      <w:spacing w:after="0" w:line="240" w:lineRule="auto"/>
    </w:pPr>
    <w:rPr>
      <w:sz w:val="20"/>
    </w:rPr>
  </w:style>
  <w:style w:type="character" w:styleId="944">
    <w:name w:val="Endnote Text Char"/>
    <w:link w:val="943"/>
    <w:uiPriority w:val="99"/>
    <w:rPr>
      <w:sz w:val="20"/>
    </w:rPr>
  </w:style>
  <w:style w:type="character" w:styleId="945">
    <w:name w:val="endnote reference"/>
    <w:basedOn w:val="959"/>
    <w:uiPriority w:val="99"/>
    <w:semiHidden/>
    <w:unhideWhenUsed/>
    <w:rPr>
      <w:vertAlign w:val="superscript"/>
    </w:rPr>
  </w:style>
  <w:style w:type="paragraph" w:styleId="946">
    <w:name w:val="toc 1"/>
    <w:basedOn w:val="957"/>
    <w:next w:val="957"/>
    <w:uiPriority w:val="39"/>
    <w:unhideWhenUsed/>
    <w:pPr>
      <w:ind w:left="0" w:right="0" w:firstLine="0"/>
      <w:spacing w:after="57"/>
    </w:pPr>
  </w:style>
  <w:style w:type="paragraph" w:styleId="947">
    <w:name w:val="toc 2"/>
    <w:basedOn w:val="957"/>
    <w:next w:val="957"/>
    <w:uiPriority w:val="39"/>
    <w:unhideWhenUsed/>
    <w:pPr>
      <w:ind w:left="283" w:right="0" w:firstLine="0"/>
      <w:spacing w:after="57"/>
    </w:pPr>
  </w:style>
  <w:style w:type="paragraph" w:styleId="948">
    <w:name w:val="toc 3"/>
    <w:basedOn w:val="957"/>
    <w:next w:val="957"/>
    <w:uiPriority w:val="39"/>
    <w:unhideWhenUsed/>
    <w:pPr>
      <w:ind w:left="567" w:right="0" w:firstLine="0"/>
      <w:spacing w:after="57"/>
    </w:pPr>
  </w:style>
  <w:style w:type="paragraph" w:styleId="949">
    <w:name w:val="toc 4"/>
    <w:basedOn w:val="957"/>
    <w:next w:val="957"/>
    <w:uiPriority w:val="39"/>
    <w:unhideWhenUsed/>
    <w:pPr>
      <w:ind w:left="850" w:right="0" w:firstLine="0"/>
      <w:spacing w:after="57"/>
    </w:pPr>
  </w:style>
  <w:style w:type="paragraph" w:styleId="950">
    <w:name w:val="toc 5"/>
    <w:basedOn w:val="957"/>
    <w:next w:val="957"/>
    <w:uiPriority w:val="39"/>
    <w:unhideWhenUsed/>
    <w:pPr>
      <w:ind w:left="1134" w:right="0" w:firstLine="0"/>
      <w:spacing w:after="57"/>
    </w:pPr>
  </w:style>
  <w:style w:type="paragraph" w:styleId="951">
    <w:name w:val="toc 6"/>
    <w:basedOn w:val="957"/>
    <w:next w:val="957"/>
    <w:uiPriority w:val="39"/>
    <w:unhideWhenUsed/>
    <w:pPr>
      <w:ind w:left="1417" w:right="0" w:firstLine="0"/>
      <w:spacing w:after="57"/>
    </w:pPr>
  </w:style>
  <w:style w:type="paragraph" w:styleId="952">
    <w:name w:val="toc 7"/>
    <w:basedOn w:val="957"/>
    <w:next w:val="957"/>
    <w:uiPriority w:val="39"/>
    <w:unhideWhenUsed/>
    <w:pPr>
      <w:ind w:left="1701" w:right="0" w:firstLine="0"/>
      <w:spacing w:after="57"/>
    </w:pPr>
  </w:style>
  <w:style w:type="paragraph" w:styleId="953">
    <w:name w:val="toc 8"/>
    <w:basedOn w:val="957"/>
    <w:next w:val="957"/>
    <w:uiPriority w:val="39"/>
    <w:unhideWhenUsed/>
    <w:pPr>
      <w:ind w:left="1984" w:right="0" w:firstLine="0"/>
      <w:spacing w:after="57"/>
    </w:pPr>
  </w:style>
  <w:style w:type="paragraph" w:styleId="954">
    <w:name w:val="toc 9"/>
    <w:basedOn w:val="957"/>
    <w:next w:val="957"/>
    <w:uiPriority w:val="39"/>
    <w:unhideWhenUsed/>
    <w:pPr>
      <w:ind w:left="2268" w:right="0" w:firstLine="0"/>
      <w:spacing w:after="57"/>
    </w:pPr>
  </w:style>
  <w:style w:type="paragraph" w:styleId="955">
    <w:name w:val="TOC Heading"/>
    <w:uiPriority w:val="39"/>
    <w:unhideWhenUsed/>
  </w:style>
  <w:style w:type="paragraph" w:styleId="956">
    <w:name w:val="table of figures"/>
    <w:basedOn w:val="957"/>
    <w:next w:val="957"/>
    <w:uiPriority w:val="99"/>
    <w:unhideWhenUsed/>
    <w:pPr>
      <w:spacing w:after="0" w:afterAutospacing="0"/>
    </w:pPr>
  </w:style>
  <w:style w:type="paragraph" w:styleId="957" w:default="1">
    <w:name w:val="Normal"/>
    <w:qFormat/>
    <w:pPr>
      <w:ind w:firstLine="400"/>
      <w:jc w:val="both"/>
      <w:spacing w:after="0" w:line="240" w:lineRule="auto"/>
      <w:widowControl w:val="off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8">
    <w:name w:val="Heading 3"/>
    <w:basedOn w:val="957"/>
    <w:next w:val="957"/>
    <w:link w:val="996"/>
    <w:uiPriority w:val="99"/>
    <w:qFormat/>
    <w:pPr>
      <w:ind w:left="142" w:firstLine="0"/>
      <w:keepNext/>
      <w:spacing w:before="240" w:after="60"/>
      <w:widowControl/>
      <w:tabs>
        <w:tab w:val="num" w:pos="312" w:leader="none"/>
      </w:tabs>
      <w:outlineLvl w:val="2"/>
    </w:pPr>
    <w:rPr>
      <w:rFonts w:ascii="Arial" w:hAnsi="Arial" w:cs="Arial"/>
      <w:b/>
      <w:bCs/>
    </w:rPr>
  </w:style>
  <w:style w:type="character" w:styleId="959" w:default="1">
    <w:name w:val="Default Paragraph Font"/>
    <w:uiPriority w:val="1"/>
    <w:semiHidden/>
    <w:unhideWhenUsed/>
  </w:style>
  <w:style w:type="table" w:styleId="96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61" w:default="1">
    <w:name w:val="No List"/>
    <w:uiPriority w:val="99"/>
    <w:semiHidden/>
    <w:unhideWhenUsed/>
  </w:style>
  <w:style w:type="paragraph" w:styleId="962">
    <w:name w:val="Header"/>
    <w:basedOn w:val="957"/>
    <w:link w:val="963"/>
    <w:pPr>
      <w:ind w:firstLine="0"/>
      <w:jc w:val="center"/>
      <w:widowControl/>
      <w:tabs>
        <w:tab w:val="center" w:pos="4153" w:leader="none"/>
        <w:tab w:val="right" w:pos="8306" w:leader="none"/>
      </w:tabs>
      <w:pBdr>
        <w:bottom w:val="single" w:color="000000" w:sz="4" w:space="1"/>
      </w:pBdr>
    </w:pPr>
    <w:rPr>
      <w:i/>
      <w:iCs/>
      <w:sz w:val="20"/>
      <w:szCs w:val="20"/>
    </w:rPr>
  </w:style>
  <w:style w:type="character" w:styleId="963" w:customStyle="1">
    <w:name w:val="Верхний колонтитул Знак"/>
    <w:basedOn w:val="959"/>
    <w:link w:val="962"/>
    <w:rPr>
      <w:rFonts w:ascii="Times New Roman" w:hAnsi="Times New Roman" w:eastAsia="Times New Roman" w:cs="Times New Roman"/>
      <w:i/>
      <w:iCs/>
      <w:sz w:val="20"/>
      <w:szCs w:val="20"/>
      <w:lang w:eastAsia="ru-RU"/>
    </w:rPr>
  </w:style>
  <w:style w:type="paragraph" w:styleId="964" w:customStyle="1">
    <w:name w:val="маркированный"/>
    <w:basedOn w:val="957"/>
    <w:pPr>
      <w:ind w:firstLine="0"/>
      <w:spacing w:line="360" w:lineRule="auto"/>
      <w:widowControl/>
    </w:pPr>
    <w:rPr>
      <w:sz w:val="28"/>
      <w:szCs w:val="28"/>
    </w:rPr>
  </w:style>
  <w:style w:type="paragraph" w:styleId="965" w:customStyle="1">
    <w:name w:val="Пункт"/>
    <w:basedOn w:val="957"/>
    <w:pPr>
      <w:ind w:left="1134" w:hanging="1134"/>
      <w:spacing w:line="360" w:lineRule="auto"/>
      <w:widowControl/>
      <w:tabs>
        <w:tab w:val="num" w:pos="643" w:leader="none"/>
        <w:tab w:val="num" w:pos="1080" w:leader="none"/>
        <w:tab w:val="num" w:pos="1134" w:leader="none"/>
      </w:tabs>
    </w:pPr>
    <w:rPr>
      <w:sz w:val="28"/>
      <w:szCs w:val="28"/>
    </w:rPr>
  </w:style>
  <w:style w:type="character" w:styleId="966" w:customStyle="1">
    <w:name w:val="комментарий"/>
    <w:rPr>
      <w:b/>
      <w:bCs/>
      <w:i/>
      <w:iCs/>
      <w:shd w:val="clear" w:color="auto" w:fill="ffff99"/>
    </w:rPr>
  </w:style>
  <w:style w:type="paragraph" w:styleId="967">
    <w:name w:val="Body Text 3"/>
    <w:basedOn w:val="957"/>
    <w:link w:val="968"/>
    <w:pPr>
      <w:ind w:firstLine="0"/>
      <w:jc w:val="left"/>
      <w:spacing w:line="360" w:lineRule="auto"/>
      <w:widowControl/>
    </w:pPr>
  </w:style>
  <w:style w:type="character" w:styleId="968" w:customStyle="1">
    <w:name w:val="Основной текст 3 Знак"/>
    <w:basedOn w:val="959"/>
    <w:link w:val="96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9">
    <w:name w:val="Body Text Indent"/>
    <w:basedOn w:val="957"/>
    <w:link w:val="970"/>
    <w:pPr>
      <w:ind w:left="283" w:firstLine="567"/>
      <w:spacing w:after="120" w:line="360" w:lineRule="auto"/>
      <w:widowControl/>
    </w:pPr>
    <w:rPr>
      <w:sz w:val="28"/>
      <w:szCs w:val="28"/>
    </w:rPr>
  </w:style>
  <w:style w:type="character" w:styleId="970" w:customStyle="1">
    <w:name w:val="Основной текст с отступом Знак"/>
    <w:basedOn w:val="959"/>
    <w:link w:val="969"/>
    <w:uiPriority w:val="99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971" w:customStyle="1">
    <w:name w:val="Знак1"/>
    <w:basedOn w:val="957"/>
    <w:pPr>
      <w:ind w:firstLine="0"/>
      <w:jc w:val="left"/>
      <w:spacing w:after="160" w:line="240" w:lineRule="exact"/>
      <w:widowControl/>
    </w:pPr>
    <w:rPr>
      <w:rFonts w:ascii="Verdana" w:hAnsi="Verdana" w:cs="Verdana"/>
      <w:sz w:val="20"/>
      <w:szCs w:val="20"/>
      <w:lang w:val="en-US" w:eastAsia="en-US"/>
    </w:rPr>
  </w:style>
  <w:style w:type="paragraph" w:styleId="972" w:customStyle="1">
    <w:name w:val="Знак1 Знак Знак Знак Знак Знак Знак"/>
    <w:basedOn w:val="957"/>
    <w:pPr>
      <w:ind w:left="1069" w:hanging="360"/>
      <w:spacing w:after="160" w:line="240" w:lineRule="exact"/>
      <w:widowControl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973">
    <w:name w:val="List Paragraph"/>
    <w:basedOn w:val="957"/>
    <w:link w:val="1000"/>
    <w:uiPriority w:val="34"/>
    <w:qFormat/>
    <w:pPr>
      <w:contextualSpacing/>
      <w:ind w:left="720"/>
    </w:pPr>
  </w:style>
  <w:style w:type="table" w:styleId="974">
    <w:name w:val="Table Grid"/>
    <w:basedOn w:val="960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75">
    <w:name w:val="Balloon Text"/>
    <w:basedOn w:val="957"/>
    <w:link w:val="976"/>
    <w:uiPriority w:val="99"/>
    <w:semiHidden/>
    <w:unhideWhenUsed/>
    <w:rPr>
      <w:rFonts w:ascii="Tahoma" w:hAnsi="Tahoma" w:cs="Tahoma"/>
      <w:sz w:val="16"/>
      <w:szCs w:val="16"/>
    </w:rPr>
  </w:style>
  <w:style w:type="character" w:styleId="976" w:customStyle="1">
    <w:name w:val="Текст выноски Знак"/>
    <w:basedOn w:val="959"/>
    <w:link w:val="975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977" w:customStyle="1">
    <w:name w:val="Знак1 Знак Знак Знак Знак Знак Знак1"/>
    <w:basedOn w:val="957"/>
    <w:pPr>
      <w:ind w:left="1069" w:hanging="360"/>
      <w:spacing w:after="160" w:line="240" w:lineRule="exact"/>
      <w:widowControl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978">
    <w:name w:val="Footer"/>
    <w:basedOn w:val="957"/>
    <w:link w:val="979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79" w:customStyle="1">
    <w:name w:val="Нижний колонтитул Знак"/>
    <w:basedOn w:val="959"/>
    <w:link w:val="978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0" w:customStyle="1">
    <w:name w:val="Знак1 Знак Знак Знак Знак Знак Знак2"/>
    <w:basedOn w:val="957"/>
    <w:pPr>
      <w:ind w:left="1069" w:hanging="360"/>
      <w:spacing w:after="160" w:line="240" w:lineRule="exact"/>
      <w:widowControl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character" w:styleId="981">
    <w:name w:val="Hyperlink"/>
    <w:basedOn w:val="959"/>
    <w:uiPriority w:val="99"/>
    <w:unhideWhenUsed/>
    <w:rPr>
      <w:color w:val="0000ff" w:themeColor="hyperlink"/>
      <w:u w:val="single"/>
    </w:rPr>
  </w:style>
  <w:style w:type="paragraph" w:styleId="982" w:customStyle="1">
    <w:name w:val="Знак1 Знак Знак Знак Знак Знак Знак3"/>
    <w:basedOn w:val="957"/>
    <w:pPr>
      <w:ind w:left="1069" w:hanging="360"/>
      <w:spacing w:after="160" w:line="240" w:lineRule="exact"/>
      <w:widowControl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983">
    <w:name w:val="Title"/>
    <w:basedOn w:val="957"/>
    <w:link w:val="984"/>
    <w:qFormat/>
    <w:pPr>
      <w:ind w:firstLine="0"/>
      <w:jc w:val="center"/>
      <w:spacing w:line="360" w:lineRule="auto"/>
      <w:widowControl/>
    </w:pPr>
    <w:rPr>
      <w:sz w:val="28"/>
    </w:rPr>
  </w:style>
  <w:style w:type="character" w:styleId="984" w:customStyle="1">
    <w:name w:val="Заголовок Знак"/>
    <w:basedOn w:val="959"/>
    <w:link w:val="983"/>
    <w:uiPriority w:val="99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985">
    <w:name w:val="Subtle Emphasis"/>
    <w:basedOn w:val="959"/>
    <w:uiPriority w:val="19"/>
    <w:qFormat/>
    <w:rPr>
      <w:i/>
      <w:iCs/>
      <w:color w:val="808080" w:themeColor="text1" w:themeTint="7F"/>
    </w:rPr>
  </w:style>
  <w:style w:type="paragraph" w:styleId="986">
    <w:name w:val="Block Text"/>
    <w:basedOn w:val="957"/>
    <w:uiPriority w:val="99"/>
    <w:pPr>
      <w:ind w:left="360" w:right="141" w:firstLine="0"/>
      <w:jc w:val="left"/>
      <w:widowControl/>
    </w:pPr>
  </w:style>
  <w:style w:type="paragraph" w:styleId="987" w:customStyle="1">
    <w:name w:val="Таблица шапка"/>
    <w:basedOn w:val="957"/>
    <w:pPr>
      <w:ind w:left="57" w:right="57" w:firstLine="0"/>
      <w:jc w:val="left"/>
      <w:keepNext/>
      <w:spacing w:before="40" w:after="40"/>
      <w:widowControl/>
    </w:pPr>
    <w:rPr>
      <w:sz w:val="22"/>
      <w:szCs w:val="22"/>
    </w:rPr>
  </w:style>
  <w:style w:type="character" w:styleId="988" w:customStyle="1">
    <w:name w:val="notice-number3"/>
    <w:basedOn w:val="959"/>
  </w:style>
  <w:style w:type="paragraph" w:styleId="989" w:customStyle="1">
    <w:name w:val="P-Style"/>
    <w:basedOn w:val="957"/>
    <w:pPr>
      <w:ind w:firstLine="0"/>
      <w:jc w:val="left"/>
      <w:spacing w:after="95" w:line="276" w:lineRule="auto"/>
      <w:widowControl/>
    </w:pPr>
  </w:style>
  <w:style w:type="table" w:styleId="990" w:customStyle="1">
    <w:name w:val="style58505"/>
    <w:uiPriority w:val="99"/>
    <w:rPr>
      <w:rFonts w:ascii="Times New Roman" w:hAnsi="Times New Roman" w:eastAsia="Times New Roman" w:cs="Times New Roman"/>
      <w:sz w:val="24"/>
      <w:szCs w:val="24"/>
      <w:lang w:eastAsia="ru-RU"/>
    </w:rPr>
    <w:tblPr>
      <w:tblBorders>
        <w:top w:val="single" w:color="000000" w:sz="1" w:space="0"/>
        <w:left w:val="single" w:color="000000" w:sz="1" w:space="0"/>
        <w:bottom w:val="single" w:color="000000" w:sz="1" w:space="0"/>
        <w:right w:val="single" w:color="000000" w:sz="1" w:space="0"/>
        <w:insideH w:val="single" w:color="000000" w:sz="1" w:space="0"/>
        <w:insideV w:val="single" w:color="000000" w:sz="1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91" w:customStyle="1">
    <w:name w:val="style35982"/>
    <w:uiPriority w:val="99"/>
    <w:rPr>
      <w:rFonts w:ascii="Times New Roman" w:hAnsi="Times New Roman" w:eastAsia="Times New Roman" w:cs="Times New Roman"/>
      <w:sz w:val="24"/>
      <w:szCs w:val="24"/>
      <w:lang w:eastAsia="ru-RU"/>
    </w:rPr>
    <w:tblPr>
      <w:tblBorders>
        <w:top w:val="single" w:color="000000" w:sz="1" w:space="0"/>
        <w:left w:val="single" w:color="000000" w:sz="1" w:space="0"/>
        <w:bottom w:val="single" w:color="000000" w:sz="1" w:space="0"/>
        <w:right w:val="single" w:color="000000" w:sz="1" w:space="0"/>
        <w:insideH w:val="single" w:color="000000" w:sz="1" w:space="0"/>
        <w:insideV w:val="single" w:color="000000" w:sz="1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92" w:customStyle="1">
    <w:name w:val="style12359"/>
    <w:uiPriority w:val="99"/>
    <w:rPr>
      <w:rFonts w:ascii="Times New Roman" w:hAnsi="Times New Roman" w:eastAsia="Times New Roman" w:cs="Times New Roman"/>
      <w:sz w:val="24"/>
      <w:szCs w:val="24"/>
      <w:lang w:eastAsia="ru-RU"/>
    </w:rPr>
    <w:tblPr>
      <w:tblBorders>
        <w:top w:val="single" w:color="000000" w:sz="1" w:space="0"/>
        <w:left w:val="single" w:color="000000" w:sz="1" w:space="0"/>
        <w:bottom w:val="single" w:color="000000" w:sz="1" w:space="0"/>
        <w:right w:val="single" w:color="000000" w:sz="1" w:space="0"/>
        <w:insideH w:val="single" w:color="000000" w:sz="1" w:space="0"/>
        <w:insideV w:val="single" w:color="000000" w:sz="1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paragraph" w:styleId="993" w:customStyle="1">
    <w:name w:val="Основной текст 25"/>
    <w:basedOn w:val="957"/>
    <w:pPr>
      <w:ind w:firstLine="567"/>
      <w:widowControl/>
    </w:pPr>
    <w:rPr>
      <w:szCs w:val="20"/>
    </w:rPr>
  </w:style>
  <w:style w:type="paragraph" w:styleId="994" w:customStyle="1">
    <w:name w:val="Default"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995" w:customStyle="1">
    <w:name w:val="blk"/>
  </w:style>
  <w:style w:type="character" w:styleId="996" w:customStyle="1">
    <w:name w:val="Заголовок 3 Знак"/>
    <w:basedOn w:val="959"/>
    <w:link w:val="958"/>
    <w:uiPriority w:val="99"/>
    <w:rPr>
      <w:rFonts w:ascii="Arial" w:hAnsi="Arial" w:eastAsia="Times New Roman" w:cs="Arial"/>
      <w:b/>
      <w:bCs/>
      <w:sz w:val="24"/>
      <w:szCs w:val="24"/>
      <w:lang w:eastAsia="ru-RU"/>
    </w:rPr>
  </w:style>
  <w:style w:type="paragraph" w:styleId="997" w:customStyle="1">
    <w:name w:val="Обычный2"/>
    <w:pPr>
      <w:ind w:firstLine="400"/>
      <w:jc w:val="both"/>
      <w:spacing w:after="0" w:line="240" w:lineRule="auto"/>
      <w:widowControl w:val="off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998">
    <w:name w:val="Body Text Indent 2"/>
    <w:basedOn w:val="957"/>
    <w:link w:val="999"/>
    <w:pPr>
      <w:ind w:left="912" w:firstLine="0"/>
      <w:widowControl/>
    </w:pPr>
  </w:style>
  <w:style w:type="character" w:styleId="999" w:customStyle="1">
    <w:name w:val="Основной текст с отступом 2 Знак"/>
    <w:basedOn w:val="959"/>
    <w:link w:val="998"/>
    <w:rPr>
      <w:rFonts w:ascii="Times New Roman" w:hAnsi="Times New Roman" w:eastAsia="Times New Roman" w:cs="Times New Roman"/>
      <w:sz w:val="24"/>
      <w:szCs w:val="24"/>
    </w:rPr>
  </w:style>
  <w:style w:type="character" w:styleId="1000" w:customStyle="1">
    <w:name w:val="Абзац списка Знак"/>
    <w:link w:val="973"/>
    <w:uiPriority w:val="34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001" w:customStyle="1">
    <w:name w:val="Сетка таблицы1"/>
    <w:basedOn w:val="960"/>
    <w:next w:val="974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02" w:customStyle="1">
    <w:name w:val="Неразрешенное упоминание1"/>
    <w:basedOn w:val="959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msp-shop.rts-tender.ru/company/0e8a412f-c1b2-4c50-9731-fc6145aea9d4/info" TargetMode="External"/><Relationship Id="rId12" Type="http://schemas.openxmlformats.org/officeDocument/2006/relationships/hyperlink" Target="mailto:Andreeva-NV@fskees.ru" TargetMode="External"/><Relationship Id="rId13" Type="http://schemas.openxmlformats.org/officeDocument/2006/relationships/hyperlink" Target="http://www.zakupki.gov.ru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msp-shop.rts-tender.ru/company/0e8a412f-c1b2-4c50-9731-fc6145aea9d4/info" TargetMode="External"/><Relationship Id="rId16" Type="http://schemas.openxmlformats.org/officeDocument/2006/relationships/hyperlink" Target="https://msp-shop.rts-tender.ru/company/0e8a412f-c1b2-4c50-9731-fc6145aea9d4/info" TargetMode="External"/><Relationship Id="rId17" Type="http://schemas.openxmlformats.org/officeDocument/2006/relationships/hyperlink" Target="https://msp-shop.rts-tender.ru/company/0e8a412f-c1b2-4c50-9731-fc6145aea9d4/info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7B0FE0-08F3-4543-8546-65230542D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Р7-Офис/2025.2.1.801</Application>
  <Company>МЭС Волги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Малиев Василий Александрович</dc:creator>
  <cp:lastModifiedBy>user</cp:lastModifiedBy>
  <cp:revision>339</cp:revision>
  <dcterms:created xsi:type="dcterms:W3CDTF">2019-04-15T11:55:00Z</dcterms:created>
  <dcterms:modified xsi:type="dcterms:W3CDTF">2025-12-15T12:07:47Z</dcterms:modified>
</cp:coreProperties>
</file>