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42"/>
      </w:pPr>
      <w:r>
        <w:t xml:space="preserve">ПРОТОКОЛ ПОДВЕДЕНИЯ ИТОГОВ</w:t>
      </w:r>
      <w:r/>
    </w:p>
    <w:p>
      <w:pPr>
        <w:pStyle w:val="649"/>
      </w:pPr>
      <w:r>
        <w:rPr>
          <w:b/>
          <w:i w:val="0"/>
          <w:u w:val="none"/>
        </w:rPr>
        <w:t xml:space="preserve">(в редакции № 1)</w:t>
      </w:r>
      <w:r/>
    </w:p>
    <w:p>
      <w:pPr>
        <w:pStyle w:val="643"/>
      </w:pPr>
      <w:r>
        <w:t xml:space="preserve">                                                                                          15 декабря 2025 года</w:t>
      </w:r>
      <w:r/>
    </w:p>
    <w:p>
      <w:pPr>
        <w:pStyle w:val="638"/>
      </w:pPr>
      <w:r/>
      <w:r/>
    </w:p>
    <w:p>
      <w:pPr>
        <w:pStyle w:val="647"/>
      </w:pPr>
      <w:r>
        <w:t xml:space="preserve">Номер процедуры:</w:t>
      </w:r>
      <w:r>
        <w:rPr>
          <w:b w:val="0"/>
          <w:i w:val="0"/>
          <w:u w:val="none"/>
        </w:rPr>
        <w:t xml:space="preserve"> 5343125028DP</w:t>
      </w:r>
      <w:r/>
    </w:p>
    <w:p>
      <w:pPr>
        <w:pStyle w:val="647"/>
      </w:pPr>
      <w:r>
        <w:t xml:space="preserve">Реестровый номер (ЕИС):</w:t>
      </w:r>
      <w:r>
        <w:rPr>
          <w:b w:val="0"/>
          <w:i w:val="0"/>
          <w:u w:val="none"/>
        </w:rPr>
        <w:t xml:space="preserve"> 32515498469</w:t>
      </w:r>
      <w:r/>
    </w:p>
    <w:p>
      <w:pPr>
        <w:pStyle w:val="638"/>
      </w:pPr>
      <w:r/>
      <w:r/>
    </w:p>
    <w:p>
      <w:pPr>
        <w:pStyle w:val="649"/>
      </w:pPr>
      <w:r>
        <w:rPr>
          <w:b/>
          <w:i w:val="0"/>
          <w:u w:val="none"/>
        </w:rPr>
        <w:t xml:space="preserve">I. Общие положения</w:t>
      </w:r>
      <w:r/>
    </w:p>
    <w:p>
      <w:pPr>
        <w:pStyle w:val="647"/>
      </w:pPr>
      <w:r>
        <w:t xml:space="preserve">Способ закупки:</w:t>
      </w:r>
      <w:r>
        <w:rPr>
          <w:b w:val="0"/>
          <w:i w:val="0"/>
          <w:u w:val="none"/>
        </w:rPr>
        <w:t xml:space="preserve"> Запрос котировок в электронной форме.</w:t>
      </w:r>
      <w:r/>
    </w:p>
    <w:p>
      <w:pPr>
        <w:pStyle w:val="647"/>
      </w:pPr>
      <w:r>
        <w:t xml:space="preserve">Сведения об организаторе:</w:t>
      </w:r>
      <w:r>
        <w:rPr>
          <w:b w:val="0"/>
          <w:i w:val="0"/>
          <w:u w:val="none"/>
        </w:rPr>
        <w:t xml:space="preserve"> МУНИЦИПАЛЬНОЕ АВТОНОМНОЕ УЧРЕЖДЕНИЕ "МОЛОДЁЖНЫЙ ЦЕНТР ГОРОДА ЛАБЫТНАНГИ" (ИНН: 8901034874, КПП: 890101001, ОГРН: 1178901000442).</w:t>
      </w:r>
      <w:r/>
    </w:p>
    <w:p>
      <w:pPr>
        <w:pStyle w:val="638"/>
      </w:pPr>
      <w:r>
        <w:t xml:space="preserve">Место нахождения: 629400, Ямало-Ненецкий автономный округ, город Лабытнанги, улица Гагарина, дом 28.</w:t>
      </w:r>
      <w:r/>
    </w:p>
    <w:p>
      <w:pPr>
        <w:pStyle w:val="638"/>
      </w:pPr>
      <w:r>
        <w:t xml:space="preserve">Почтовый адрес: 629400, Ямало-Ненецкий автономный округ, город Лабытнанги, улица Гагарина, дом 28.</w:t>
      </w:r>
      <w:r/>
    </w:p>
    <w:p>
      <w:pPr>
        <w:pStyle w:val="647"/>
      </w:pPr>
      <w:r>
        <w:t xml:space="preserve">Сведения о заказчике:</w:t>
      </w:r>
      <w:r>
        <w:rPr>
          <w:b w:val="0"/>
          <w:i w:val="0"/>
          <w:u w:val="none"/>
        </w:rPr>
        <w:t xml:space="preserve"> МУНИЦИПАЛЬНОЕ АВТОНОМНОЕ УЧРЕЖДЕНИЕ "МОЛОДЁЖНЫЙ ЦЕНТР ГОРОДА ЛАБЫТНАНГИ" (ИНН: 8901034874, КПП: 890101001, ОГРН: 1178901000442).</w:t>
      </w:r>
      <w:r/>
    </w:p>
    <w:p>
      <w:pPr>
        <w:pStyle w:val="638"/>
      </w:pPr>
      <w:r>
        <w:t xml:space="preserve">Место нахождения: 629400, Ямало-Ненецкий автономный округ, город Лабытнанги, улица Гагарина, дом 28.</w:t>
      </w:r>
      <w:r/>
    </w:p>
    <w:p>
      <w:pPr>
        <w:pStyle w:val="638"/>
      </w:pPr>
      <w:r>
        <w:t xml:space="preserve">Почтовый адрес: 629400, Ямало-Ненецкий автономный округ, город Лабытнанги, улица Гагарина, дом 28.</w:t>
      </w:r>
      <w:r/>
    </w:p>
    <w:p>
      <w:pPr>
        <w:pStyle w:val="647"/>
      </w:pPr>
      <w:r>
        <w:t xml:space="preserve">Контактная информация:</w:t>
      </w:r>
      <w:r>
        <w:rPr>
          <w:b w:val="0"/>
          <w:i w:val="0"/>
          <w:u w:val="none"/>
        </w:rPr>
        <w:t xml:space="preserve"> Зарецкая А. Н., тел.: +7(34992) 5-35-38, e-mail: taraskinasb@ufkis.lbt.yanao.ru</w:t>
      </w:r>
      <w:r/>
    </w:p>
    <w:p>
      <w:pPr>
        <w:pStyle w:val="647"/>
      </w:pPr>
      <w:r>
        <w:t xml:space="preserve">Сведения об операторе электронной площадки:</w:t>
      </w:r>
      <w:r>
        <w:rPr>
          <w:b w:val="0"/>
          <w:i w:val="0"/>
          <w:u w:val="none"/>
        </w:rPr>
        <w:t xml:space="preserve"> Общество с ограниченной ответственностью "РЕГИОН" (ИНН: 0278160590, КПП: 027601001, ОГРН: 1090280022777).</w:t>
      </w:r>
      <w:r/>
    </w:p>
    <w:p>
      <w:pPr>
        <w:pStyle w:val="638"/>
      </w:pPr>
      <w:r>
        <w:t xml:space="preserve">Место нахождения: 450053, Россия, Республика Башкортостан, г. Уфа, ул. Проспект Октября, д. 132/3, этаж 9.</w:t>
      </w:r>
      <w:r/>
    </w:p>
    <w:p>
      <w:pPr>
        <w:pStyle w:val="638"/>
      </w:pPr>
      <w:r>
        <w:t xml:space="preserve">Почтовый адрес: 450053, Россия, Республика Башкортостан, г. Уфа, ул. Проспект Октября, д. 132/3, этаж 9.</w:t>
      </w:r>
      <w:r/>
    </w:p>
    <w:p>
      <w:pPr>
        <w:pStyle w:val="638"/>
      </w:pPr>
      <w:r>
        <w:t xml:space="preserve">Техническая поддержка: тел.: 8 (800) 600 72 28, эл. почта: info@etp-region.ru</w:t>
      </w:r>
      <w:r/>
    </w:p>
    <w:p>
      <w:pPr>
        <w:pStyle w:val="647"/>
      </w:pPr>
      <w:r>
        <w:t xml:space="preserve">Наименование закупки:</w:t>
      </w:r>
      <w:r>
        <w:rPr>
          <w:b w:val="0"/>
          <w:i w:val="0"/>
          <w:u w:val="none"/>
        </w:rPr>
        <w:t xml:space="preserve"> Оказание услуг по экстренному реагированию на срабатывание средств тревожной сигнализации</w:t>
      </w:r>
      <w:r/>
    </w:p>
    <w:p>
      <w:pPr>
        <w:pStyle w:val="647"/>
      </w:pPr>
      <w:r>
        <w:t xml:space="preserve">Предмет договора (лота):</w:t>
      </w:r>
      <w:r>
        <w:rPr>
          <w:b w:val="0"/>
          <w:i w:val="0"/>
          <w:u w:val="none"/>
        </w:rPr>
        <w:t xml:space="preserve"> Оказание услуг по экстренному реагированию на срабатывание средств тревожной сигнализации.</w:t>
      </w:r>
      <w:r/>
    </w:p>
    <w:p>
      <w:pPr>
        <w:pStyle w:val="619"/>
      </w:pPr>
      <w:r>
        <w:rPr>
          <w:b/>
          <w:i w:val="0"/>
          <w:sz w:val="24"/>
          <w:u w:val="none"/>
        </w:rPr>
        <w:t xml:space="preserve">Классификация товаров, работ, услуг:</w:t>
      </w:r>
      <w:r/>
    </w:p>
    <w:tbl>
      <w:tblPr>
        <w:tblW w:w="0" w:type="auto"/>
        <w:tblInd w:w="0" w:type="dxa"/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426"/>
        <w:gridCol w:w="2066"/>
        <w:gridCol w:w="1591"/>
        <w:gridCol w:w="1395"/>
        <w:gridCol w:w="2072"/>
        <w:gridCol w:w="2087"/>
      </w:tblGrid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none" w:color="000000" w:sz="1" w:space="0"/>
            </w:tcBorders>
            <w:tcW w:w="426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t xml:space="preserve">№ </w:t>
            </w:r>
            <w:r>
              <w:rPr>
                <w:b/>
              </w:rPr>
              <w:t xml:space="preserve">п/п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</w:tcBorders>
            <w:tcW w:w="2066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Наименование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</w:tcBorders>
            <w:tcW w:w="1591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Количество (ед. измерения)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</w:tcBorders>
            <w:tcW w:w="1395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Вид требования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</w:tcBorders>
            <w:tcW w:w="2072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Код ОКПД 2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2087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Код ОКВЭД 2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W w:w="426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1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</w:tcBorders>
            <w:tcW w:w="2066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Услуги систем обеспечения безопасности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</w:tcBorders>
            <w:tcW w:w="1591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12 (Месяц)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</w:tcBorders>
            <w:tcW w:w="1395" w:type="dxa"/>
            <w:vAlign w:val="top"/>
            <w:textDirection w:val="lrTb"/>
            <w:noWrap w:val="false"/>
          </w:tcPr>
          <w:p>
            <w:pPr>
              <w:pStyle w:val="65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  <w:tc>
          <w:tcPr>
            <w:tcBorders>
              <w:left w:val="none" w:color="000000" w:sz="1" w:space="0"/>
              <w:bottom w:val="single" w:color="000000" w:sz="6" w:space="0"/>
            </w:tcBorders>
            <w:tcW w:w="2072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80.20.10.000: Услуги систем обеспечения безопасности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  <w:right w:val="single" w:color="000000" w:sz="6" w:space="0"/>
            </w:tcBorders>
            <w:tcW w:w="208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80.20: Деятельность систем обеспечения безопасности</w:t>
            </w:r>
            <w:r/>
          </w:p>
        </w:tc>
      </w:tr>
    </w:tbl>
    <w:p>
      <w:pPr>
        <w:pStyle w:val="638"/>
        <w:rPr>
          <w:b w:val="0"/>
        </w:rPr>
      </w:pPr>
      <w:r>
        <w:rPr>
          <w:b w:val="0"/>
        </w:rPr>
      </w:r>
      <w:r>
        <w:rPr>
          <w:b w:val="0"/>
        </w:rPr>
      </w:r>
    </w:p>
    <w:p>
      <w:pPr>
        <w:pStyle w:val="647"/>
      </w:pPr>
      <w:r>
        <w:t xml:space="preserve">Количество поставляемого товара, объем выполняемых работ, оказываемых услуг:</w:t>
      </w:r>
      <w:r>
        <w:rPr>
          <w:b w:val="0"/>
          <w:i w:val="0"/>
          <w:u w:val="none"/>
        </w:rPr>
        <w:t xml:space="preserve"> Услуги систем обеспечения безопасности: 12 Месяц.</w:t>
      </w:r>
      <w:r/>
    </w:p>
    <w:p>
      <w:pPr>
        <w:pStyle w:val="647"/>
      </w:pPr>
      <w:r>
        <w:t xml:space="preserve">Начальная (максимальная) цена договора (лота):</w:t>
      </w:r>
      <w:r>
        <w:rPr>
          <w:b w:val="0"/>
          <w:i w:val="0"/>
          <w:u w:val="none"/>
        </w:rPr>
        <w:t xml:space="preserve"> 55 000.00 руб.</w:t>
      </w:r>
      <w:r/>
    </w:p>
    <w:p>
      <w:pPr>
        <w:pStyle w:val="647"/>
      </w:pPr>
      <w:r>
        <w:t xml:space="preserve">Срок предоставления документации о закупке:</w:t>
      </w:r>
      <w:r>
        <w:rPr>
          <w:b w:val="0"/>
          <w:i w:val="0"/>
          <w:u w:val="none"/>
        </w:rPr>
        <w:t xml:space="preserve"> с 7 декабря 2025 года по 15 декабря 2025 года.</w:t>
      </w:r>
      <w:r/>
    </w:p>
    <w:p>
      <w:pPr>
        <w:pStyle w:val="647"/>
      </w:pPr>
      <w:r>
        <w:t xml:space="preserve">Место предоставления документации о закупке:</w:t>
      </w:r>
      <w:r>
        <w:rPr>
          <w:b w:val="0"/>
          <w:i w:val="0"/>
          <w:u w:val="none"/>
        </w:rPr>
        <w:t xml:space="preserve"> ЭТП РЕГИОН https://torgi.etp-region.ru.</w:t>
      </w:r>
      <w:r/>
    </w:p>
    <w:p>
      <w:pPr>
        <w:pStyle w:val="647"/>
      </w:pPr>
      <w:r>
        <w:t xml:space="preserve">Порядок предоставления документации о закупке:</w:t>
      </w:r>
      <w:r>
        <w:rPr>
          <w:b w:val="0"/>
          <w:i w:val="0"/>
          <w:u w:val="none"/>
        </w:rPr>
        <w:t xml:space="preserve"> В электронной форме.</w:t>
      </w:r>
      <w:r/>
    </w:p>
    <w:p>
      <w:pPr>
        <w:pStyle w:val="647"/>
      </w:pPr>
      <w:r>
        <w:t xml:space="preserve">Официальный сайт, на котором размещена документация о закупке:</w:t>
      </w:r>
      <w:r>
        <w:rPr>
          <w:b w:val="0"/>
          <w:i w:val="0"/>
          <w:u w:val="none"/>
        </w:rPr>
        <w:t xml:space="preserve"> https://torgi.etp-region.ru, http://zakupki.gov.ru.</w:t>
      </w:r>
      <w:r/>
    </w:p>
    <w:p>
      <w:pPr>
        <w:pStyle w:val="647"/>
      </w:pPr>
      <w:r>
        <w:t xml:space="preserve">Размер, срок и порядок внесения платы за предоставление документации о закупке:</w:t>
      </w:r>
      <w:r>
        <w:rPr>
          <w:b w:val="0"/>
          <w:i w:val="0"/>
          <w:u w:val="none"/>
        </w:rPr>
        <w:t xml:space="preserve"> плата не установлена.</w:t>
      </w:r>
      <w:r/>
    </w:p>
    <w:p>
      <w:pPr>
        <w:pStyle w:val="647"/>
      </w:pPr>
      <w:r>
        <w:t xml:space="preserve">Место подачи заявок:</w:t>
      </w:r>
      <w:r>
        <w:rPr>
          <w:b w:val="0"/>
          <w:i w:val="0"/>
          <w:u w:val="none"/>
        </w:rPr>
        <w:t xml:space="preserve"> ЭТП РЕГИОН https://torgi.etp-region.ru.</w:t>
      </w:r>
      <w:r/>
    </w:p>
    <w:p>
      <w:pPr>
        <w:pStyle w:val="647"/>
      </w:pPr>
      <w:r>
        <w:t xml:space="preserve">Дата начала подачи заявок:</w:t>
      </w:r>
      <w:r>
        <w:rPr>
          <w:b w:val="0"/>
          <w:i w:val="0"/>
          <w:u w:val="none"/>
        </w:rPr>
        <w:t xml:space="preserve"> 7 декабря 2025 года.</w:t>
      </w:r>
      <w:r/>
    </w:p>
    <w:p>
      <w:pPr>
        <w:pStyle w:val="647"/>
      </w:pPr>
      <w:r>
        <w:t xml:space="preserve">Дата и время окончания подачи заявок:</w:t>
      </w:r>
      <w:r>
        <w:rPr>
          <w:b w:val="0"/>
          <w:i w:val="0"/>
          <w:u w:val="none"/>
        </w:rPr>
        <w:t xml:space="preserve"> 15 декабря 2025 года в 08:00 MCK+2.</w:t>
      </w:r>
      <w:r/>
    </w:p>
    <w:p>
      <w:pPr>
        <w:pStyle w:val="647"/>
      </w:pPr>
      <w:r>
        <w:t xml:space="preserve">Место, дата и время рассмотрения заявок:</w:t>
      </w:r>
      <w:r>
        <w:rPr>
          <w:b w:val="0"/>
          <w:i w:val="0"/>
          <w:u w:val="none"/>
        </w:rPr>
        <w:t xml:space="preserve"> 629400, Ямало-Ненецкий автономный округ, город Лабытнанги, улица Гагарина, дом 28, 15 декабря 2025 года в 09:49 MCK+2.</w:t>
      </w:r>
      <w:r/>
    </w:p>
    <w:p>
      <w:pPr>
        <w:pStyle w:val="647"/>
      </w:pPr>
      <w:r>
        <w:t xml:space="preserve">Место, дата и время подведения итогов закупки:</w:t>
      </w:r>
      <w:r>
        <w:rPr>
          <w:b w:val="0"/>
          <w:i w:val="0"/>
          <w:u w:val="none"/>
        </w:rPr>
        <w:t xml:space="preserve"> 629400, Ямало-Ненецкий автономный округ, город Лабытнанги, улица Гагарина, дом 28, 15 декабря 2025 года в 09:49 MCK+2.</w:t>
      </w:r>
      <w:r/>
    </w:p>
    <w:p>
      <w:pPr>
        <w:pStyle w:val="638"/>
      </w:pPr>
      <w:r/>
      <w:r/>
    </w:p>
    <w:p>
      <w:pPr>
        <w:pStyle w:val="649"/>
      </w:pPr>
      <w:r>
        <w:rPr>
          <w:b/>
          <w:i w:val="0"/>
          <w:u w:val="none"/>
        </w:rPr>
        <w:t xml:space="preserve">II. Сведения о результатах рассмотрения заявок</w:t>
      </w:r>
      <w:r/>
    </w:p>
    <w:p>
      <w:pPr>
        <w:pStyle w:val="619"/>
      </w:pPr>
      <w:r>
        <w:rPr>
          <w:b/>
          <w:i w:val="0"/>
          <w:sz w:val="24"/>
          <w:u w:val="none"/>
        </w:rPr>
        <w:t xml:space="preserve">Сведения об участниках, подавших заявки на участие в закупке: </w:t>
      </w:r>
      <w:r/>
    </w:p>
    <w:tbl>
      <w:tblPr>
        <w:tblW w:w="0" w:type="auto"/>
        <w:tblInd w:w="0" w:type="dxa"/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3893"/>
        <w:gridCol w:w="3827"/>
        <w:gridCol w:w="1916"/>
      </w:tblGrid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none" w:color="000000" w:sz="1" w:space="0"/>
            </w:tcBorders>
            <w:tcW w:w="3893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Дата и время регистрации заявки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</w:tcBorders>
            <w:tcW w:w="3827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Номер заявки участника закупки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916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Почтовый адрес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W w:w="3893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09.12.2025 12:15:33 MCK+2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</w:tcBorders>
            <w:tcW w:w="382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Заявка №70069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  <w:right w:val="single" w:color="000000" w:sz="6" w:space="0"/>
            </w:tcBorders>
            <w:tcW w:w="1916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-</w:t>
            </w:r>
            <w:r/>
          </w:p>
        </w:tc>
      </w:tr>
    </w:tbl>
    <w:p>
      <w:pPr>
        <w:pStyle w:val="638"/>
        <w:rPr>
          <w:b w:val="0"/>
          <w:i w:val="0"/>
          <w:u w:val="none"/>
        </w:rPr>
      </w:pP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</w:r>
    </w:p>
    <w:p>
      <w:pPr>
        <w:pStyle w:val="619"/>
      </w:pPr>
      <w:r>
        <w:rPr>
          <w:b/>
          <w:i w:val="0"/>
          <w:sz w:val="24"/>
          <w:u w:val="none"/>
        </w:rPr>
        <w:t xml:space="preserve">Сведения об участниках, допущенных к участию в закупке: </w:t>
      </w:r>
      <w:r/>
    </w:p>
    <w:tbl>
      <w:tblPr>
        <w:tblW w:w="0" w:type="auto"/>
        <w:tblInd w:w="0" w:type="dxa"/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6429"/>
        <w:gridCol w:w="3207"/>
      </w:tblGrid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none" w:color="000000" w:sz="1" w:space="0"/>
            </w:tcBorders>
            <w:tcW w:w="6429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Номер заявки участника закупки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3207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Почтовый адрес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W w:w="6429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Заявка №70069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  <w:right w:val="single" w:color="000000" w:sz="6" w:space="0"/>
            </w:tcBorders>
            <w:tcW w:w="320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-</w:t>
            </w:r>
            <w:r/>
          </w:p>
        </w:tc>
      </w:tr>
    </w:tbl>
    <w:p>
      <w:pPr>
        <w:pStyle w:val="638"/>
        <w:rPr>
          <w:b w:val="0"/>
          <w:i w:val="0"/>
          <w:u w:val="none"/>
        </w:rPr>
      </w:pP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</w:r>
    </w:p>
    <w:p>
      <w:pPr>
        <w:pStyle w:val="647"/>
      </w:pPr>
      <w:r>
        <w:t xml:space="preserve">Сведения об участниках, которым отказано в допуске к участию в закупке с указанием причин отклонения:</w:t>
      </w:r>
      <w:r>
        <w:rPr>
          <w:b w:val="0"/>
          <w:i w:val="0"/>
          <w:u w:val="none"/>
        </w:rPr>
        <w:t xml:space="preserve"> отклоненные заявки отсутствуют.</w:t>
      </w:r>
      <w:r/>
    </w:p>
    <w:p>
      <w:pPr>
        <w:pStyle w:val="638"/>
      </w:pPr>
      <w:r/>
      <w:r/>
    </w:p>
    <w:p>
      <w:pPr>
        <w:pStyle w:val="638"/>
      </w:pPr>
      <w:r/>
      <w:r/>
    </w:p>
    <w:p>
      <w:pPr>
        <w:pStyle w:val="649"/>
      </w:pPr>
      <w:r>
        <w:rPr>
          <w:b/>
          <w:i w:val="0"/>
          <w:u w:val="none"/>
        </w:rPr>
        <w:t xml:space="preserve">III. Сведения о результатах подведения итогов закупки</w:t>
      </w:r>
      <w:r/>
    </w:p>
    <w:p>
      <w:pPr>
        <w:pStyle w:val="647"/>
      </w:pPr>
      <w:r>
        <w:t xml:space="preserve"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0"/>
          <w:i w:val="0"/>
          <w:u w:val="none"/>
        </w:rPr>
        <w:t xml:space="preserve"> допущен и признан участником закупки единственный участник закупки.</w:t>
      </w:r>
      <w:r/>
    </w:p>
    <w:p>
      <w:pPr>
        <w:pStyle w:val="638"/>
      </w:pPr>
      <w:r/>
      <w:r/>
    </w:p>
    <w:p>
      <w:pPr>
        <w:pStyle w:val="619"/>
      </w:pPr>
      <w:r>
        <w:rPr>
          <w:b/>
        </w:rPr>
        <w:t xml:space="preserve">Сведения об участниках закупки, которым присвоены первый и второй порядковые номера:</w:t>
      </w:r>
      <w:r/>
    </w:p>
    <w:tbl>
      <w:tblPr>
        <w:tblW w:w="0" w:type="auto"/>
        <w:tblInd w:w="0" w:type="dxa"/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5290"/>
        <w:gridCol w:w="4347"/>
      </w:tblGrid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none" w:color="000000" w:sz="1" w:space="0"/>
            </w:tcBorders>
            <w:tcW w:w="5290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Участник, которому присвоен первый порядковый номер (победитель)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4347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Участник, которому присвоен второй порядковый номер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W w:w="5290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Заявка №70069, - 09.12.2025 12:15 MCK+2</w:t>
              <w:br w:type="textWrapping" w:clear="all"/>
            </w:r>
            <w:r>
              <w:rPr>
                <w:u w:val="single"/>
              </w:rPr>
              <w:t xml:space="preserve">Предложение о цене договора (лота):</w:t>
            </w:r>
            <w:r>
              <w:br w:type="textWrapping" w:clear="all"/>
              <w:t xml:space="preserve">55 000.00 руб.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  <w:right w:val="single" w:color="000000" w:sz="6" w:space="0"/>
            </w:tcBorders>
            <w:tcW w:w="434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отсутствует</w:t>
            </w:r>
            <w:r/>
          </w:p>
        </w:tc>
      </w:tr>
    </w:tbl>
    <w:p>
      <w:pPr>
        <w:pStyle w:val="638"/>
        <w:rPr>
          <w:b w:val="0"/>
        </w:rPr>
      </w:pPr>
      <w:r>
        <w:rPr>
          <w:b w:val="0"/>
        </w:rPr>
      </w:r>
      <w:r>
        <w:rPr>
          <w:b w:val="0"/>
        </w:rPr>
      </w:r>
    </w:p>
    <w:p>
      <w:pPr>
        <w:pStyle w:val="649"/>
      </w:pPr>
      <w:r>
        <w:rPr>
          <w:b/>
          <w:i w:val="0"/>
          <w:u w:val="none"/>
        </w:rPr>
        <w:t xml:space="preserve">IV. Сведения о признании закупки несостоявшейся</w:t>
      </w:r>
      <w:r/>
    </w:p>
    <w:p>
      <w:pPr>
        <w:pStyle w:val="638"/>
      </w:pPr>
      <w:r>
        <w:t xml:space="preserve">Конкурентная закупка признана несостоявшейся в связи с тем, что на участие в закупке подана только одна заявка</w:t>
      </w:r>
      <w:r/>
    </w:p>
    <w:p>
      <w:pPr>
        <w:pStyle w:val="638"/>
      </w:pPr>
      <w:r/>
      <w:r/>
    </w:p>
    <w:p>
      <w:pPr>
        <w:pStyle w:val="619"/>
      </w:pPr>
      <w:r>
        <w:rPr>
          <w:b/>
        </w:rPr>
        <w:t xml:space="preserve">Состав комиссии:</w:t>
      </w:r>
      <w:r/>
    </w:p>
    <w:tbl>
      <w:tblPr>
        <w:tblW w:w="0" w:type="auto"/>
        <w:tblInd w:w="0" w:type="dxa"/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2896"/>
        <w:gridCol w:w="4974"/>
        <w:gridCol w:w="1767"/>
      </w:tblGrid>
      <w:tr>
        <w:tblPrEx/>
        <w:trPr/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none" w:color="000000" w:sz="1" w:space="0"/>
              <w:right w:val="single" w:color="000000" w:sz="6" w:space="0"/>
            </w:tcBorders>
            <w:tcW w:w="9637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Комиссия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6" w:type="dxa"/>
            <w:vAlign w:val="top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Роль в комиссии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74" w:type="dxa"/>
            <w:vAlign w:val="top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Ф.И.О.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67" w:type="dxa"/>
            <w:vAlign w:val="top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Подпись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6" w:type="dxa"/>
            <w:vAlign w:val="top"/>
            <w:textDirection w:val="lrTb"/>
            <w:noWrap w:val="false"/>
          </w:tcPr>
          <w:p>
            <w:pPr>
              <w:pStyle w:val="6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Начальник </w:t>
            </w:r>
            <w:r>
              <w:rPr>
                <w:sz w:val="20"/>
                <w:szCs w:val="20"/>
              </w:rPr>
              <w:t xml:space="preserve">управления ФКСМПиТ Администрации г.Лабытнанги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74" w:type="dxa"/>
            <w:vAlign w:val="top"/>
            <w:textDirection w:val="lrTb"/>
            <w:noWrap w:val="false"/>
          </w:tcPr>
          <w:p>
            <w:pPr>
              <w:pStyle w:val="6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</w:t>
            </w:r>
            <w:r>
              <w:rPr>
                <w:sz w:val="20"/>
                <w:szCs w:val="20"/>
              </w:rPr>
              <w:t xml:space="preserve">Денисюк Станислав Анатольевич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67" w:type="dxa"/>
            <w:vAlign w:val="top"/>
            <w:textDirection w:val="lrTb"/>
            <w:noWrap w:val="false"/>
          </w:tcPr>
          <w:p>
            <w:pPr>
              <w:pStyle w:val="6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6" w:type="dxa"/>
            <w:vAlign w:val="top"/>
            <w:textDirection w:val="lrTb"/>
            <w:noWrap w:val="false"/>
          </w:tcPr>
          <w:p>
            <w:pPr>
              <w:pStyle w:val="6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</w:t>
            </w:r>
            <w:r>
              <w:rPr>
                <w:sz w:val="20"/>
                <w:szCs w:val="20"/>
              </w:rPr>
              <w:t xml:space="preserve">Заместитель директора муниципального автономного учреждения молодёжный центр города Лабытнанги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74" w:type="dxa"/>
            <w:vAlign w:val="top"/>
            <w:textDirection w:val="lrTb"/>
            <w:noWrap w:val="false"/>
          </w:tcPr>
          <w:p>
            <w:pPr>
              <w:pStyle w:val="6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</w:t>
            </w:r>
            <w:r>
              <w:rPr>
                <w:sz w:val="20"/>
                <w:szCs w:val="20"/>
              </w:rPr>
              <w:t xml:space="preserve">Зарецкая Алла Николаевна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67" w:type="dxa"/>
            <w:vAlign w:val="top"/>
            <w:textDirection w:val="lrTb"/>
            <w:noWrap w:val="false"/>
          </w:tcPr>
          <w:p>
            <w:pPr>
              <w:pStyle w:val="6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6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74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6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6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74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6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6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74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6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6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74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6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W w:w="2896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</w:tcBorders>
            <w:tcW w:w="4974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  <w:right w:val="single" w:color="000000" w:sz="6" w:space="0"/>
            </w:tcBorders>
            <w:tcW w:w="176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</w:tr>
    </w:tbl>
    <w:sectPr>
      <w:footnotePr/>
      <w:endnotePr/>
      <w:type w:val="nextPage"/>
      <w:pgSz w:w="11906" w:h="16838" w:orient="portrait"/>
      <w:pgMar w:top="1134" w:right="1134" w:bottom="1134" w:left="1134" w:header="709" w:footer="709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Liberation Sans">
    <w:panose1 w:val="020B0604020202020204"/>
  </w:font>
  <w:font w:name="Lucida Sans Unicode">
    <w:panose1 w:val="020B060303080402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620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decimal"/>
      <w:pStyle w:val="621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decimal"/>
      <w:pStyle w:val="622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"/>
    <w:link w:val="620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"/>
    <w:link w:val="621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11"/>
    <w:link w:val="622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9"/>
    <w:next w:val="61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9"/>
    <w:next w:val="61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9"/>
    <w:next w:val="61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9"/>
    <w:next w:val="61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9"/>
    <w:next w:val="61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9"/>
    <w:next w:val="61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9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11"/>
    <w:link w:val="631"/>
    <w:uiPriority w:val="10"/>
    <w:rPr>
      <w:sz w:val="48"/>
      <w:szCs w:val="48"/>
    </w:rPr>
  </w:style>
  <w:style w:type="character" w:styleId="37">
    <w:name w:val="Subtitle Char"/>
    <w:basedOn w:val="11"/>
    <w:link w:val="632"/>
    <w:uiPriority w:val="11"/>
    <w:rPr>
      <w:sz w:val="24"/>
      <w:szCs w:val="24"/>
    </w:rPr>
  </w:style>
  <w:style w:type="paragraph" w:styleId="38">
    <w:name w:val="Quote"/>
    <w:basedOn w:val="619"/>
    <w:next w:val="61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9"/>
    <w:next w:val="61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9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character" w:styleId="47">
    <w:name w:val="Caption Char"/>
    <w:basedOn w:val="11"/>
    <w:link w:val="634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9"/>
    <w:next w:val="61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9"/>
    <w:next w:val="61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9"/>
    <w:next w:val="61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9"/>
    <w:next w:val="61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9"/>
    <w:next w:val="61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9"/>
    <w:next w:val="61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9"/>
    <w:next w:val="61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9"/>
    <w:next w:val="61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9"/>
    <w:next w:val="61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9"/>
    <w:next w:val="619"/>
    <w:uiPriority w:val="99"/>
    <w:unhideWhenUsed/>
    <w:pPr>
      <w:spacing w:after="0" w:afterAutospacing="0"/>
    </w:pPr>
  </w:style>
  <w:style w:type="table" w:styleId="618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619" w:default="1">
    <w:name w:val="Normal"/>
    <w:next w:val="619"/>
    <w:link w:val="619"/>
    <w:pPr>
      <w:widowControl w:val="off"/>
    </w:pPr>
    <w:rPr>
      <w:rFonts w:ascii="Times New Roman" w:hAnsi="Times New Roman" w:eastAsia="Lucida Sans Unicode" w:cs="Tahoma"/>
      <w:color w:val="auto"/>
      <w:sz w:val="24"/>
      <w:szCs w:val="24"/>
      <w:lang w:val="ru-RU" w:eastAsia="ru-RU" w:bidi="ru-RU"/>
    </w:rPr>
  </w:style>
  <w:style w:type="paragraph" w:styleId="620">
    <w:name w:val="Heading 1"/>
    <w:basedOn w:val="631"/>
    <w:next w:val="628"/>
    <w:link w:val="619"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621">
    <w:name w:val="Heading 2"/>
    <w:basedOn w:val="631"/>
    <w:next w:val="628"/>
    <w:link w:val="619"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622">
    <w:name w:val="Heading 3"/>
    <w:basedOn w:val="631"/>
    <w:next w:val="628"/>
    <w:link w:val="619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623">
    <w:name w:val="Numbering Symbols"/>
    <w:next w:val="623"/>
    <w:link w:val="619"/>
  </w:style>
  <w:style w:type="character" w:styleId="624">
    <w:name w:val="Footnote Characters"/>
    <w:next w:val="624"/>
    <w:link w:val="619"/>
  </w:style>
  <w:style w:type="character" w:styleId="625">
    <w:name w:val="Endnote Characters"/>
    <w:next w:val="625"/>
    <w:link w:val="619"/>
  </w:style>
  <w:style w:type="character" w:styleId="626">
    <w:name w:val="Internet Link"/>
    <w:next w:val="626"/>
    <w:link w:val="619"/>
    <w:rPr>
      <w:color w:val="000080"/>
      <w:u w:val="single"/>
      <w:lang w:val="en-US" w:eastAsia="en-US" w:bidi="en-US"/>
    </w:rPr>
  </w:style>
  <w:style w:type="character" w:styleId="627">
    <w:name w:val="Visited Internet Link"/>
    <w:next w:val="627"/>
    <w:link w:val="619"/>
    <w:rPr>
      <w:color w:val="800000"/>
      <w:u w:val="single"/>
      <w:lang w:val="en-US" w:eastAsia="en-US" w:bidi="en-US"/>
    </w:rPr>
  </w:style>
  <w:style w:type="paragraph" w:styleId="628">
    <w:name w:val="Text Body"/>
    <w:basedOn w:val="619"/>
    <w:next w:val="628"/>
    <w:link w:val="619"/>
    <w:pPr>
      <w:spacing w:before="0" w:after="120"/>
    </w:pPr>
  </w:style>
  <w:style w:type="paragraph" w:styleId="629">
    <w:name w:val="First Line Indent"/>
    <w:basedOn w:val="628"/>
    <w:next w:val="629"/>
    <w:link w:val="619"/>
    <w:pPr>
      <w:ind w:left="0" w:right="0" w:firstLine="283"/>
    </w:pPr>
  </w:style>
  <w:style w:type="paragraph" w:styleId="630">
    <w:name w:val="Heading"/>
    <w:basedOn w:val="619"/>
    <w:next w:val="628"/>
    <w:link w:val="619"/>
    <w:pPr>
      <w:keepNext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631">
    <w:name w:val="Title"/>
    <w:basedOn w:val="619"/>
    <w:next w:val="628"/>
    <w:link w:val="619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632">
    <w:name w:val="Subtitle"/>
    <w:basedOn w:val="631"/>
    <w:next w:val="628"/>
    <w:link w:val="619"/>
    <w:pPr>
      <w:jc w:val="center"/>
    </w:pPr>
    <w:rPr>
      <w:i/>
      <w:iCs/>
      <w:sz w:val="28"/>
      <w:szCs w:val="28"/>
    </w:rPr>
  </w:style>
  <w:style w:type="paragraph" w:styleId="633">
    <w:name w:val="List"/>
    <w:basedOn w:val="628"/>
    <w:next w:val="633"/>
    <w:link w:val="619"/>
    <w:rPr>
      <w:rFonts w:ascii="Arial" w:hAnsi="Arial" w:cs="Tahoma"/>
    </w:rPr>
  </w:style>
  <w:style w:type="paragraph" w:styleId="634">
    <w:name w:val="Caption"/>
    <w:basedOn w:val="619"/>
    <w:next w:val="634"/>
    <w:link w:val="619"/>
    <w:pPr>
      <w:spacing w:before="120" w:after="120"/>
      <w:suppressLineNumbers/>
    </w:pPr>
    <w:rPr>
      <w:rFonts w:ascii="Times New Roman" w:hAnsi="Times New Roman" w:cs="Tahoma"/>
      <w:i/>
      <w:iCs/>
      <w:sz w:val="20"/>
      <w:szCs w:val="24"/>
    </w:rPr>
  </w:style>
  <w:style w:type="paragraph" w:styleId="635">
    <w:name w:val="Index"/>
    <w:basedOn w:val="619"/>
    <w:next w:val="635"/>
    <w:link w:val="619"/>
    <w:pPr>
      <w:suppressLineNumbers/>
    </w:pPr>
    <w:rPr>
      <w:rFonts w:ascii="Arial" w:hAnsi="Arial" w:cs="Tahoma"/>
    </w:rPr>
  </w:style>
  <w:style w:type="paragraph" w:styleId="636">
    <w:name w:val="Bibliography 1"/>
    <w:basedOn w:val="635"/>
    <w:next w:val="636"/>
    <w:link w:val="619"/>
    <w:pPr>
      <w:ind w:left="0" w:right="0" w:firstLine="0"/>
      <w:tabs>
        <w:tab w:val="right" w:pos="9637" w:leader="dot"/>
      </w:tabs>
    </w:pPr>
  </w:style>
  <w:style w:type="paragraph" w:styleId="637">
    <w:name w:val="publication"/>
    <w:basedOn w:val="619"/>
    <w:next w:val="638"/>
    <w:link w:val="619"/>
    <w:pPr>
      <w:spacing w:line="240" w:lineRule="auto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</w:pPr>
    <w:rPr>
      <w:rFonts w:ascii="Arial" w:hAnsi="Arial"/>
      <w:b w:val="0"/>
      <w:color w:val="ffffff"/>
      <w:sz w:val="22"/>
      <w:highlight w:val="black"/>
    </w:rPr>
  </w:style>
  <w:style w:type="paragraph" w:styleId="638">
    <w:name w:val="text"/>
    <w:next w:val="638"/>
    <w:link w:val="619"/>
    <w:pPr>
      <w:spacing w:line="240" w:lineRule="auto"/>
      <w:widowControl w:val="off"/>
    </w:pPr>
    <w:rPr>
      <w:rFonts w:ascii="Times New Roman" w:hAnsi="Times New Roman" w:eastAsia="Lucida Sans Unicode" w:cs="Tahoma"/>
      <w:color w:val="auto"/>
      <w:sz w:val="24"/>
      <w:szCs w:val="24"/>
      <w:lang w:val="ru-RU" w:eastAsia="ru-RU" w:bidi="ru-RU"/>
    </w:rPr>
  </w:style>
  <w:style w:type="paragraph" w:styleId="639">
    <w:name w:val="layout0"/>
    <w:basedOn w:val="620"/>
    <w:next w:val="638"/>
    <w:link w:val="619"/>
    <w:pPr>
      <w:numPr>
        <w:ilvl w:val="0"/>
        <w:numId w:val="0"/>
      </w:numPr>
    </w:pPr>
    <w:rPr>
      <w:b/>
      <w:sz w:val="32"/>
    </w:rPr>
  </w:style>
  <w:style w:type="paragraph" w:styleId="640">
    <w:name w:val="layout1"/>
    <w:basedOn w:val="621"/>
    <w:next w:val="638"/>
    <w:link w:val="619"/>
    <w:pPr>
      <w:numPr>
        <w:ilvl w:val="0"/>
        <w:numId w:val="0"/>
      </w:numPr>
    </w:pPr>
  </w:style>
  <w:style w:type="paragraph" w:styleId="641">
    <w:name w:val="layout2"/>
    <w:basedOn w:val="622"/>
    <w:next w:val="638"/>
    <w:link w:val="619"/>
    <w:pPr>
      <w:numPr>
        <w:ilvl w:val="0"/>
        <w:numId w:val="0"/>
      </w:numPr>
    </w:pPr>
    <w:rPr>
      <w:sz w:val="26"/>
    </w:rPr>
  </w:style>
  <w:style w:type="paragraph" w:styleId="642">
    <w:name w:val="messagecaption"/>
    <w:basedOn w:val="638"/>
    <w:next w:val="638"/>
    <w:link w:val="619"/>
    <w:pPr>
      <w:jc w:val="center"/>
      <w:spacing w:line="0" w:lineRule="atLeast"/>
    </w:pPr>
    <w:rPr>
      <w:b/>
      <w:caps/>
    </w:rPr>
  </w:style>
  <w:style w:type="paragraph" w:styleId="643">
    <w:name w:val="messagesubcaption"/>
    <w:basedOn w:val="638"/>
    <w:next w:val="638"/>
    <w:link w:val="619"/>
    <w:pPr>
      <w:jc w:val="center"/>
    </w:pPr>
    <w:rPr>
      <w:b w:val="0"/>
      <w:caps w:val="0"/>
      <w:smallCaps w:val="0"/>
    </w:rPr>
  </w:style>
  <w:style w:type="paragraph" w:styleId="644">
    <w:name w:val="print"/>
    <w:basedOn w:val="620"/>
    <w:next w:val="638"/>
    <w:link w:val="619"/>
    <w:pPr>
      <w:numPr>
        <w:ilvl w:val="0"/>
        <w:numId w:val="0"/>
      </w:numPr>
    </w:pPr>
  </w:style>
  <w:style w:type="paragraph" w:styleId="645">
    <w:name w:val="printChapter"/>
    <w:basedOn w:val="621"/>
    <w:next w:val="638"/>
    <w:link w:val="619"/>
    <w:pPr>
      <w:numPr>
        <w:ilvl w:val="0"/>
        <w:numId w:val="0"/>
      </w:numPr>
    </w:pPr>
    <w:rPr>
      <w:sz w:val="28"/>
    </w:rPr>
  </w:style>
  <w:style w:type="paragraph" w:styleId="646">
    <w:name w:val="printSubChapter"/>
    <w:basedOn w:val="622"/>
    <w:next w:val="638"/>
    <w:link w:val="619"/>
    <w:pPr>
      <w:numPr>
        <w:ilvl w:val="0"/>
        <w:numId w:val="0"/>
      </w:numPr>
    </w:pPr>
    <w:rPr>
      <w:sz w:val="26"/>
    </w:rPr>
  </w:style>
  <w:style w:type="paragraph" w:styleId="647">
    <w:name w:val="variable"/>
    <w:basedOn w:val="638"/>
    <w:next w:val="638"/>
    <w:link w:val="619"/>
    <w:rPr>
      <w:b/>
    </w:rPr>
  </w:style>
  <w:style w:type="paragraph" w:styleId="648">
    <w:name w:val="Text"/>
    <w:basedOn w:val="634"/>
    <w:next w:val="648"/>
    <w:link w:val="619"/>
  </w:style>
  <w:style w:type="paragraph" w:styleId="649">
    <w:name w:val="centered"/>
    <w:basedOn w:val="638"/>
    <w:next w:val="638"/>
    <w:link w:val="619"/>
    <w:pPr>
      <w:jc w:val="center"/>
    </w:pPr>
  </w:style>
  <w:style w:type="paragraph" w:styleId="650">
    <w:name w:val="Table Contents"/>
    <w:basedOn w:val="619"/>
    <w:next w:val="650"/>
    <w:link w:val="619"/>
    <w:pPr>
      <w:suppressLineNumbers/>
    </w:pPr>
  </w:style>
  <w:style w:type="paragraph" w:styleId="651">
    <w:name w:val="Table Heading"/>
    <w:basedOn w:val="650"/>
    <w:next w:val="651"/>
    <w:link w:val="619"/>
    <w:pPr>
      <w:jc w:val="center"/>
      <w:suppressLineNumbers/>
    </w:pPr>
    <w:rPr>
      <w:b/>
      <w:bCs/>
    </w:rPr>
  </w:style>
  <w:style w:type="paragraph" w:styleId="652">
    <w:name w:val="List Contents"/>
    <w:basedOn w:val="619"/>
    <w:next w:val="652"/>
    <w:link w:val="619"/>
    <w:pPr>
      <w:ind w:left="567" w:right="0" w:firstLine="0"/>
    </w:pPr>
  </w:style>
  <w:style w:type="character" w:styleId="1427" w:default="1">
    <w:name w:val="Default Paragraph Font"/>
    <w:uiPriority w:val="1"/>
    <w:semiHidden/>
    <w:unhideWhenUsed/>
  </w:style>
  <w:style w:type="numbering" w:styleId="1428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pc-080-54u</cp:lastModifiedBy>
  <cp:revision>3</cp:revision>
  <dcterms:created xsi:type="dcterms:W3CDTF">2025-12-15T04:49:00Z</dcterms:created>
  <dcterms:modified xsi:type="dcterms:W3CDTF">2025-12-15T04:52:56Z</dcterms:modified>
</cp:coreProperties>
</file>