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9"/>
        <w:jc w:val="center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ПРОТОКОЛ </w:t>
      </w:r>
      <w:r>
        <w:rPr>
          <w:b w:val="0"/>
          <w:bCs w:val="0"/>
          <w:sz w:val="22"/>
          <w:szCs w:val="22"/>
        </w:rPr>
        <w:t xml:space="preserve">№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251935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-</w:t>
      </w:r>
      <w:r>
        <w:rPr>
          <w:b w:val="0"/>
          <w:bCs w:val="0"/>
          <w:sz w:val="22"/>
          <w:szCs w:val="22"/>
        </w:rPr>
        <w:t xml:space="preserve">6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right="1"/>
        <w:jc w:val="center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очного </w:t>
      </w:r>
      <w:r>
        <w:rPr>
          <w:sz w:val="22"/>
          <w:szCs w:val="22"/>
        </w:rPr>
        <w:t xml:space="preserve">заседания </w:t>
      </w:r>
      <w:r>
        <w:rPr>
          <w:sz w:val="22"/>
          <w:szCs w:val="22"/>
        </w:rPr>
        <w:t xml:space="preserve">Закупочной</w:t>
      </w:r>
      <w:r>
        <w:rPr>
          <w:sz w:val="22"/>
          <w:szCs w:val="22"/>
        </w:rPr>
        <w:t xml:space="preserve"> комиссии </w:t>
      </w:r>
      <w:r>
        <w:rPr>
          <w:sz w:val="22"/>
          <w:szCs w:val="22"/>
        </w:rPr>
        <w:t xml:space="preserve">по </w:t>
      </w:r>
      <w:r>
        <w:rPr>
          <w:sz w:val="22"/>
          <w:szCs w:val="22"/>
        </w:rPr>
        <w:t xml:space="preserve">подведению итогов</w:t>
      </w:r>
      <w:r>
        <w:rPr>
          <w:sz w:val="22"/>
          <w:szCs w:val="22"/>
        </w:rPr>
        <w:br/>
      </w:r>
      <w:r>
        <w:rPr>
          <w:sz w:val="22"/>
          <w:szCs w:val="22"/>
        </w:rPr>
        <w:t xml:space="preserve">по </w:t>
      </w:r>
      <w:r>
        <w:rPr>
          <w:sz w:val="22"/>
          <w:szCs w:val="22"/>
        </w:rPr>
        <w:t xml:space="preserve">запросу предложений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в электронной форме </w:t>
      </w:r>
      <w:r>
        <w:rPr>
          <w:sz w:val="22"/>
          <w:szCs w:val="22"/>
        </w:rPr>
        <w:t xml:space="preserve">на электронной торговой площадке </w:t>
      </w:r>
      <w:hyperlink r:id="rId11" w:tooltip="https://tender.lot-online.ru/" w:history="1">
        <w:r>
          <w:rPr>
            <w:rStyle w:val="934"/>
            <w:sz w:val="22"/>
            <w:szCs w:val="22"/>
          </w:rPr>
          <w:t xml:space="preserve">https://tender.lot-online.ru/</w:t>
        </w:r>
      </w:hyperlink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ind w:right="1"/>
        <w:jc w:val="center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1"/>
        <w:ind w:left="0" w:right="168" w:firstLine="0"/>
        <w:jc w:val="center"/>
        <w:spacing w:line="240" w:lineRule="auto"/>
        <w:tabs>
          <w:tab w:val="clear" w:pos="1134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10206" w:type="dxa"/>
        <w:tblLayout w:type="fixed"/>
        <w:tblLook w:val="0000" w:firstRow="0" w:lastRow="0" w:firstColumn="0" w:lastColumn="0" w:noHBand="0" w:noVBand="0"/>
      </w:tblPr>
      <w:tblGrid>
        <w:gridCol w:w="2376"/>
        <w:gridCol w:w="2834"/>
        <w:gridCol w:w="4996"/>
      </w:tblGrid>
      <w:tr>
        <w:tblPrEx/>
        <w:trPr>
          <w:trHeight w:val="57"/>
        </w:trPr>
        <w:tc>
          <w:tcPr>
            <w:gridSpan w:val="2"/>
            <w:tcW w:w="5210" w:type="dxa"/>
            <w:textDirection w:val="lrTb"/>
            <w:noWrap w:val="false"/>
          </w:tcPr>
          <w:p>
            <w:pPr>
              <w:ind w:right="16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г. Санкт-Петербург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996" w:type="dxa"/>
            <w:textDirection w:val="lrTb"/>
            <w:noWrap w:val="false"/>
          </w:tcPr>
          <w:p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 xml:space="preserve">Дата составления протокола: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12.12</w:t>
            </w:r>
            <w:r>
              <w:rPr>
                <w:sz w:val="22"/>
                <w:szCs w:val="22"/>
              </w:rPr>
              <w:t xml:space="preserve">.2025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sz w:val="22"/>
                <w:szCs w:val="22"/>
              </w:rPr>
              <w:t xml:space="preserve">Дата подписания протокола: </w:t>
            </w:r>
            <w:r>
              <w:rPr>
                <w:sz w:val="22"/>
                <w:szCs w:val="22"/>
              </w:rPr>
              <w:t xml:space="preserve">12.12</w:t>
            </w:r>
            <w:r>
              <w:rPr>
                <w:sz w:val="22"/>
                <w:szCs w:val="22"/>
              </w:rPr>
              <w:t xml:space="preserve">.2025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7"/>
        </w:trPr>
        <w:tc>
          <w:tcPr>
            <w:gridSpan w:val="2"/>
            <w:tcW w:w="5210" w:type="dxa"/>
            <w:textDirection w:val="lrTb"/>
            <w:noWrap w:val="false"/>
          </w:tcPr>
          <w:p>
            <w:pPr>
              <w:ind w:right="16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996" w:type="dxa"/>
            <w:textDirection w:val="lrTb"/>
            <w:noWrap w:val="false"/>
          </w:tcPr>
          <w:p>
            <w:pPr>
              <w:ind w:right="16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61"/>
        </w:trPr>
        <w:tc>
          <w:tcPr>
            <w:tcBorders>
              <w:bottom w:val="single" w:color="auto" w:sz="4" w:space="0"/>
            </w:tcBorders>
            <w:tcW w:w="2376" w:type="dxa"/>
            <w:vAlign w:val="center"/>
            <w:textDirection w:val="lrTb"/>
            <w:noWrap w:val="false"/>
          </w:tcPr>
          <w:p>
            <w:pPr>
              <w:pStyle w:val="928"/>
              <w:ind w:right="3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Предмет </w:t>
            </w:r>
            <w:r>
              <w:rPr>
                <w:sz w:val="22"/>
                <w:szCs w:val="22"/>
              </w:rPr>
              <w:t xml:space="preserve">запроса предложений</w:t>
            </w:r>
            <w:r>
              <w:rPr>
                <w:sz w:val="22"/>
                <w:szCs w:val="22"/>
              </w:rPr>
              <w:t xml:space="preserve"> в электронной форме</w:t>
            </w:r>
            <w:r>
              <w:rPr>
                <w:sz w:val="22"/>
                <w:szCs w:val="22"/>
              </w:rPr>
              <w:t xml:space="preserve">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7830" w:type="dxa"/>
            <w:vAlign w:val="center"/>
            <w:textDirection w:val="lrTb"/>
            <w:noWrap w:val="false"/>
          </w:tcPr>
          <w:p>
            <w:pPr>
              <w:pStyle w:val="928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Поставка измерительных трансформаторов тока 10 кВ для нужд филиала ПAO«Россети Ленэнерго» «ВЭС» в количестве 80 шт. (251935)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  <w:p>
            <w:pPr>
              <w:pStyle w:val="928"/>
              <w:ind w:right="33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ind w:right="168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0" w:right="1"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Повестка дня: </w:t>
      </w:r>
      <w:r>
        <w:rPr>
          <w:sz w:val="22"/>
          <w:szCs w:val="22"/>
        </w:rPr>
        <w:t xml:space="preserve">Подведение итогов </w:t>
      </w:r>
      <w:r>
        <w:rPr>
          <w:sz w:val="22"/>
          <w:szCs w:val="22"/>
        </w:rPr>
        <w:t xml:space="preserve">по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запросу предложений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в электронной форме </w:t>
      </w:r>
      <w:r>
        <w:rPr>
          <w:sz w:val="22"/>
          <w:szCs w:val="22"/>
        </w:rPr>
        <w:t xml:space="preserve">на электронной торговой площадке </w:t>
      </w:r>
      <w:hyperlink r:id="rId12" w:tooltip="https://tender.lot-online.ru/" w:history="1">
        <w:r>
          <w:rPr>
            <w:rStyle w:val="934"/>
            <w:sz w:val="22"/>
            <w:szCs w:val="22"/>
          </w:rPr>
          <w:t xml:space="preserve">https://tender.lot-online.ru/</w:t>
        </w:r>
      </w:hyperlink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на </w:t>
      </w:r>
      <w:r>
        <w:rPr>
          <w:sz w:val="22"/>
          <w:szCs w:val="22"/>
        </w:rPr>
        <w:t xml:space="preserve">право </w:t>
      </w:r>
      <w:r>
        <w:rPr>
          <w:sz w:val="22"/>
          <w:szCs w:val="22"/>
        </w:rPr>
        <w:t xml:space="preserve">заключения договора </w:t>
      </w:r>
      <w:r>
        <w:rPr>
          <w:sz w:val="22"/>
          <w:szCs w:val="22"/>
        </w:rPr>
        <w:t xml:space="preserve">по лоту: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Поставка измерительных трансформаторов тока 10 кВ для нужд филиала ПAO«Россети Ленэнерго» «ВЭС» в количестве 80 шт. (251935)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1260" w:right="168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900" w:right="1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Дата заседания комиссии: 12.12</w:t>
      </w:r>
      <w:r>
        <w:rPr>
          <w:sz w:val="22"/>
          <w:szCs w:val="22"/>
        </w:rPr>
        <w:t xml:space="preserve">.2025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900" w:right="1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Кворум имеется. Комиссия правомочна.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900" w:right="168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right="1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Общая информация о закупке: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1260" w:right="168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0"/>
          <w:numId w:val="35"/>
        </w:numPr>
        <w:ind w:left="0" w:right="-11"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bCs/>
          <w:sz w:val="22"/>
          <w:szCs w:val="22"/>
        </w:rPr>
        <w:t xml:space="preserve">Основание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проведения закупочной процедуры: В соответствии с приказом ПАО «Россети Ленэнерго» от 26.12.2024 № 835 «Об утверждении Плана з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акупки товаров, работ, услуг ПАО «Россети Ленэнерго» на 2025 год», Единым стандартом закупок ПАО «Россети» (Положение о закупке), решение о присоединении к которому принято Советом директоров ПАО «Россети Ленэнерго» 01.02.2023 (протокол от 02.02.2023 №44).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567" w:right="-11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35"/>
        </w:numPr>
        <w:ind w:left="0" w:right="-11" w:firstLine="567"/>
        <w:jc w:val="both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Извещение о проведении конкурса в электронной форме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и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документация о закупке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от 29.10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опубликованы 29.10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 на официальном сайте (</w:t>
      </w:r>
      <w:hyperlink r:id="rId13" w:tooltip="http://www.zakupki.gov.ru" w:history="1"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www.zakupki.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  <w:lang w:val="en-US"/>
          </w:rPr>
          <w:t xml:space="preserve">gov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.ru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на сайте ЭТП </w:t>
      </w:r>
      <w:hyperlink r:id="rId14" w:tooltip="https://tender.lot-online.ru/" w:history="1"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https://tender.lot-online.ru/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567" w:right="-11" w:firstLine="0"/>
        <w:jc w:val="both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35"/>
        </w:numPr>
        <w:ind w:left="0" w:right="-11" w:firstLine="567"/>
        <w:jc w:val="both"/>
        <w:tabs>
          <w:tab w:val="left" w:pos="1418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Согласно процедуре электронных торгов на электронной торговой площадке </w:t>
      </w:r>
      <w:hyperlink r:id="rId15" w:tooltip="https://tender.lot-online.ru/" w:history="1"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https://tender.lot-online.ru/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29.10.2025 г. объявление №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RAD250014210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(номер извещения на сайте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"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://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/223"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separate"/>
      </w:r>
      <w:r>
        <w:rPr>
          <w:rStyle w:val="974"/>
          <w:rFonts w:ascii="Times New Roman" w:hAnsi="Times New Roman" w:eastAsia="Times New Roman" w:cs="Times New Roman"/>
          <w:sz w:val="22"/>
          <w:szCs w:val="22"/>
          <w:lang w:val="en-US"/>
        </w:rPr>
        <w:t xml:space="preserve">www</w:t>
      </w:r>
      <w:r>
        <w:rPr>
          <w:rStyle w:val="974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4"/>
          <w:rFonts w:ascii="Times New Roman" w:hAnsi="Times New Roman" w:eastAsia="Times New Roman" w:cs="Times New Roman"/>
          <w:sz w:val="22"/>
          <w:szCs w:val="22"/>
          <w:lang w:val="en-US"/>
        </w:rPr>
        <w:t xml:space="preserve">zakupki</w:t>
      </w:r>
      <w:r>
        <w:rPr>
          <w:rStyle w:val="974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4"/>
          <w:rFonts w:ascii="Times New Roman" w:hAnsi="Times New Roman" w:eastAsia="Times New Roman" w:cs="Times New Roman"/>
          <w:sz w:val="22"/>
          <w:szCs w:val="22"/>
          <w:lang w:val="en-US"/>
        </w:rPr>
        <w:t xml:space="preserve">gov</w:t>
      </w:r>
      <w:r>
        <w:rPr>
          <w:rStyle w:val="974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74"/>
          <w:rFonts w:ascii="Times New Roman" w:hAnsi="Times New Roman" w:eastAsia="Times New Roman" w:cs="Times New Roman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32515352568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в качестве участников данного конкурса в электронной форме зарегистрировались следующие участники: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ind w:left="567" w:right="-11" w:firstLine="0"/>
        <w:jc w:val="both"/>
        <w:tabs>
          <w:tab w:val="left" w:pos="1418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10105" w:type="dxa"/>
        <w:tblInd w:w="10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51"/>
        <w:gridCol w:w="4299"/>
        <w:gridCol w:w="4955"/>
      </w:tblGrid>
      <w:tr>
        <w:tblPrEx/>
        <w:trPr>
          <w:cantSplit/>
          <w:trHeight w:val="2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5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конкурса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в электронной форме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cantSplit/>
          <w:trHeight w:val="1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ind w:left="106" w:right="11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widowControl w:val="off"/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11.11.2025 12:52:48 MCK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5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437815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О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АО "СЗТТ"</w:t>
            </w:r>
            <w:r/>
          </w:p>
        </w:tc>
      </w:tr>
      <w:tr>
        <w:tblPrEx/>
        <w:trPr>
          <w:cantSplit/>
          <w:trHeight w:val="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ind w:left="106" w:right="11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FFFFFF" w:sz="255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02.12.2025 08:45:20 MCK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none" w:color="FFFFFF" w:sz="255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5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446310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АО "ГРУППА "СВЭЛ"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ind w:left="106" w:right="11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FFFFFF" w:sz="255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03.12.2025 10:08:31 MCK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none" w:color="FFFFFF" w:sz="255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5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446957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ООО "ЭЛЕКТРОЩИТ-К°"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ind w:left="106" w:right="11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FFFFFF" w:sz="255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99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03.12.2025 10:40:31 MCK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none" w:color="FFFFFF" w:sz="255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55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447003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ООО "АС СЕВЕРОЗАПАД"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</w:tbl>
    <w:p>
      <w:pPr>
        <w:numPr>
          <w:ilvl w:val="0"/>
          <w:numId w:val="35"/>
        </w:numPr>
        <w:ind w:left="0" w:firstLine="709"/>
        <w:jc w:val="both"/>
        <w:spacing w:before="57" w:beforeAutospacing="0" w:after="28" w:afterAutospacing="0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Начальная (максимальная) цена договора (цена закупки), руб. с НДС/без НДС, Срок поставки товара: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4946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564"/>
        <w:gridCol w:w="2533"/>
      </w:tblGrid>
      <w:tr>
        <w:tblPrEx/>
        <w:trPr>
          <w:trHeight w:val="270"/>
        </w:trPr>
        <w:tc>
          <w:tcPr>
            <w:tcW w:w="756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1418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 w:type="page" w:clear="all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Начальная (максимальная) цена  договора (цена закупки)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руб. с НДС/без НДС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</w:tcBorders>
            <w:tcW w:w="2533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1418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поставки товара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518"/>
        </w:trPr>
        <w:tc>
          <w:tcPr>
            <w:tcW w:w="7564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Calibri"/>
                <w:sz w:val="22"/>
                <w:szCs w:val="22"/>
              </w:rPr>
              <w:t xml:space="preserve">2 576 228,40 рублей с НДС</w:t>
            </w:r>
            <w:r/>
          </w:p>
          <w:p>
            <w:pPr>
              <w:jc w:val="center"/>
            </w:pPr>
            <w:r>
              <w:rPr>
                <w:rFonts w:ascii="Times New Roman" w:hAnsi="Times New Roman" w:eastAsia="Calibri"/>
                <w:sz w:val="22"/>
                <w:szCs w:val="22"/>
              </w:rPr>
              <w:t xml:space="preserve">429 371,40 руб. НДС-20%</w:t>
            </w:r>
            <w:r/>
          </w:p>
          <w:p>
            <w:pPr>
              <w:jc w:val="center"/>
              <w:rPr>
                <w:rFonts w:ascii="Times New Roman" w:hAnsi="Times New Roman" w:eastAsia="Calibri"/>
                <w:sz w:val="22"/>
                <w:szCs w:val="22"/>
              </w:rPr>
            </w:pPr>
            <w:r>
              <w:rPr>
                <w:rFonts w:ascii="Times New Roman" w:hAnsi="Times New Roman" w:eastAsia="Calibri"/>
                <w:sz w:val="22"/>
                <w:szCs w:val="22"/>
              </w:rPr>
              <w:t xml:space="preserve">2 146 857,00 рублей без НДС</w:t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  <w:r>
              <w:rPr>
                <w:rFonts w:ascii="Times New Roman" w:hAnsi="Times New Roman" w:eastAsia="Calibri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</w:tcBorders>
            <w:tcW w:w="253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t xml:space="preserve">с даты заключения договора – 25.12.2025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>
      <w:pPr>
        <w:ind w:left="567" w:right="-1" w:firstLine="0"/>
        <w:jc w:val="both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142" w:right="-1" w:firstLine="567"/>
        <w:jc w:val="both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5. По результатам рассмотрения заявок участников в</w:t>
      </w:r>
      <w:r>
        <w:rPr>
          <w:sz w:val="22"/>
          <w:szCs w:val="22"/>
        </w:rPr>
        <w:t xml:space="preserve"> соответствии с протоколом от 11.12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.2025</w:t>
      </w:r>
      <w:r>
        <w:rPr>
          <w:sz w:val="22"/>
          <w:szCs w:val="22"/>
        </w:rPr>
        <w:t xml:space="preserve"> 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251935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-5</w:t>
      </w:r>
      <w:r>
        <w:rPr>
          <w:sz w:val="22"/>
          <w:szCs w:val="22"/>
        </w:rPr>
        <w:t xml:space="preserve">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ind w:left="142" w:right="-1" w:firstLine="567"/>
        <w:jc w:val="both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142" w:right="-1" w:firstLine="567"/>
        <w:jc w:val="both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5.1. П</w:t>
      </w:r>
      <w:r>
        <w:rPr>
          <w:bCs/>
          <w:sz w:val="22"/>
          <w:szCs w:val="22"/>
        </w:rPr>
        <w:t xml:space="preserve">ризнаны соответствующими требованиям </w:t>
      </w:r>
      <w:r>
        <w:rPr>
          <w:sz w:val="22"/>
          <w:szCs w:val="22"/>
        </w:rPr>
        <w:t xml:space="preserve">документации о закупке и приняты </w:t>
      </w:r>
      <w:r>
        <w:rPr>
          <w:bCs/>
          <w:sz w:val="22"/>
          <w:szCs w:val="22"/>
        </w:rPr>
        <w:t xml:space="preserve">к дальнейшему рассмотрению заявки следующих участников: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ind w:left="142" w:right="-1" w:firstLine="567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10093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1418"/>
        <w:gridCol w:w="8675"/>
      </w:tblGrid>
      <w:tr>
        <w:tblPrEx/>
        <w:trPr>
          <w:cantSplit/>
          <w:trHeight w:val="14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Номер 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5" w:type="dxa"/>
            <w:vAlign w:val="center"/>
            <w:textDirection w:val="lrTb"/>
            <w:noWrap w:val="false"/>
          </w:tcPr>
          <w:p>
            <w:pPr>
              <w:ind w:left="142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Участник запроса предложений в электронной форме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8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5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446310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АО "ГРУППА "СВЭЛ"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0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5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446957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ООО "ЭЛЕКТРОЩИТ-К°"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</w:tbl>
    <w:p>
      <w:pPr>
        <w:ind w:left="142" w:firstLine="567"/>
        <w:jc w:val="both"/>
        <w:tabs>
          <w:tab w:val="left" w:pos="1418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5.2. На основании </w:t>
      </w:r>
      <w:r>
        <w:rPr>
          <w:rFonts w:ascii="Times New Roman" w:hAnsi="Times New Roman"/>
          <w:sz w:val="22"/>
          <w:szCs w:val="22"/>
        </w:rPr>
        <w:t xml:space="preserve">п.п. б) п.п. 5.2.5. п. 5.2.</w:t>
      </w:r>
      <w:r>
        <w:rPr>
          <w:rFonts w:ascii="Times New Roman" w:hAnsi="Times New Roman"/>
          <w:sz w:val="22"/>
          <w:szCs w:val="22"/>
        </w:rPr>
        <w:t xml:space="preserve"> раздела 3 части I «ОБЩИЕ УСЛОВИЯ ПРОВЕДЕНИЯ ЗАКУПКИ» документации о закупке </w:t>
      </w:r>
      <w:r>
        <w:rPr>
          <w:rFonts w:ascii="Times New Roman" w:hAnsi="Times New Roman"/>
          <w:bCs/>
          <w:sz w:val="22"/>
          <w:szCs w:val="22"/>
        </w:rPr>
        <w:t xml:space="preserve">признать заявк</w:t>
      </w:r>
      <w:r>
        <w:rPr>
          <w:rFonts w:ascii="Times New Roman" w:hAnsi="Times New Roman"/>
          <w:bCs/>
          <w:sz w:val="22"/>
          <w:szCs w:val="22"/>
        </w:rPr>
        <w:t xml:space="preserve">и следующ</w:t>
      </w:r>
      <w:r>
        <w:rPr>
          <w:rFonts w:ascii="Times New Roman" w:hAnsi="Times New Roman"/>
          <w:bCs/>
          <w:sz w:val="22"/>
          <w:szCs w:val="22"/>
        </w:rPr>
        <w:t xml:space="preserve">их</w:t>
      </w:r>
      <w:r>
        <w:rPr>
          <w:rFonts w:ascii="Times New Roman" w:hAnsi="Times New Roman"/>
          <w:bCs/>
          <w:sz w:val="22"/>
          <w:szCs w:val="22"/>
        </w:rPr>
        <w:t xml:space="preserve"> участник</w:t>
      </w:r>
      <w:r>
        <w:rPr>
          <w:rFonts w:ascii="Times New Roman" w:hAnsi="Times New Roman"/>
          <w:bCs/>
          <w:sz w:val="22"/>
          <w:szCs w:val="22"/>
        </w:rPr>
        <w:t xml:space="preserve">ов несоответствующ</w:t>
      </w:r>
      <w:r>
        <w:rPr>
          <w:rFonts w:ascii="Times New Roman" w:hAnsi="Times New Roman"/>
          <w:bCs/>
          <w:sz w:val="22"/>
          <w:szCs w:val="22"/>
        </w:rPr>
        <w:t xml:space="preserve">ими требованиям документации о закупке и отклонить</w:t>
      </w:r>
      <w:r>
        <w:rPr>
          <w:bCs/>
          <w:sz w:val="22"/>
          <w:szCs w:val="22"/>
        </w:rPr>
        <w:t xml:space="preserve">: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tbl>
      <w:tblPr>
        <w:tblW w:w="10206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8930"/>
      </w:tblGrid>
      <w:tr>
        <w:tblPrEx/>
        <w:trPr>
          <w:cantSplit/>
          <w:trHeight w:val="39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Номер 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30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Участник конкурса в электронной форме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0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437815 - ОАО "СЗТТ"</w:t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0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447003 - ООО "АС СЕВЕРОЗАПАД"</w:t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</w:r>
          </w:p>
        </w:tc>
      </w:tr>
    </w:tbl>
    <w:p>
      <w:pPr>
        <w:pStyle w:val="958"/>
        <w:ind w:left="0"/>
        <w:jc w:val="both"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1 -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Закупочная комиссия при рассмотрении заявки участника ОАО "СЗТТ" определила, что участник не соответствует требованиям документации: </w:t>
      </w:r>
      <w:r/>
    </w:p>
    <w:p>
      <w:pPr>
        <w:pStyle w:val="958"/>
        <w:ind w:left="0"/>
        <w:jc w:val="both"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Участник представил форму №5 «Справка о цепочке собственников участника закупки, включая бенефициаров (в том числе конечных) в части некорректных сведений списка владельцев ценных бумаг, что не соответствует п.9 раздела 2 части II «ИНФОРМАЦИОННАЯ КАРТА ЗАК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УПКИ. ОТБОРОЧНЫ КРИТЕРИИ (ТРЕБОВАНИЯ. ДОКУМЕНТЫ СОДЕРЖАЩИЕ СВЕДЕНИЯ ДЛЯ РАССМОТРЕНИЯ И ОЦЕНКИПО КРИТЕРИЮ. СОСТАВ ЗАЯВКИ)» документации о закупке;</w:t>
      </w:r>
      <w:r/>
    </w:p>
    <w:p>
      <w:pPr>
        <w:pStyle w:val="958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Форму №6 «Согласие на обработку персональных данных» без указания адреса лица, действующего от имени организации, что не соответствует п.11 раздела 2 части II «ИНФОРМАЦИОННАЯ КАРТА ЗАКУПКИ. ОТБОРОЧНЫ КРИТЕРИИ (ТРЕБОВАНИЯ. ДОКУМЕНТЫ СОДЕРЖАЩИЕ СВЕДЕНИЯ ДЛЯ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РАССМОТРЕНИЯ И ОЦЕНКИПО КРИТЕРИЮ. СОСТАВ ЗАЯВКИ)»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По решению закупочной комиссии данные отклонения считать существенными , на основании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пп. б) п 5.2.5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 части I «ОБЩИЕ УЛОВИЯ ПРОВЕДЕНИЯ ЗАКУПКИ» документации о закупке заявку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Участника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0"/>
          <w:szCs w:val="20"/>
          <w:u w:val="none"/>
        </w:rPr>
        <w:t xml:space="preserve">ОАО "СЗТТ"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к дальнейшему рассмотрению не принимать .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58"/>
        <w:ind w:left="37" w:hanging="37"/>
        <w:jc w:val="both"/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</w:t>
      </w:r>
      <w:r>
        <w:rPr>
          <w:rFonts w:eastAsia="Calibri"/>
          <w:sz w:val="20"/>
          <w:szCs w:val="20"/>
        </w:rPr>
        <w:t xml:space="preserve">2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Закупочная комиссия при рассмотрении заявки участника ООО "АС СЕВЕРОЗАПАД" определила, что участник не соответствует требованиям документации: </w:t>
      </w:r>
      <w:r/>
    </w:p>
    <w:p>
      <w:pPr>
        <w:pStyle w:val="958"/>
        <w:ind w:left="37" w:hanging="37"/>
        <w:jc w:val="both"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Участник представил форму №7 «Техническое предложение», в части указания срока, что не соответствует п.1 раздела 2 части II «ИНФОРМАЦИОННАЯ КАРТА ЗАКУПКИ. ОТБОРОЧНЫ КРИТЕРИИ (ТРЕБОВАНИЯ. ДОКУМЕНТЫ СОДЕРЖАЩИЕ СВЕДЕНИЯ ДЛЯ РАССМОТРЕНИЯ И ОЦЕНКИПО КРИТЕРИЮ. С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ОСТАВ ЗАЯВКИ)» документации о закупке.</w:t>
      </w:r>
      <w:r>
        <w:rPr>
          <w:rFonts w:ascii="Times New Roman" w:hAnsi="Times New Roman" w:cs="Times New Roman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>
      <w:pPr>
        <w:ind w:left="0" w:right="168" w:firstLine="0"/>
        <w:jc w:val="both"/>
        <w:rPr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По решению закупочной комиссии данные отклонения считать существенными, на основании </w:t>
      </w:r>
      <w:r>
        <w:rPr>
          <w:rFonts w:ascii="Times New Roman" w:hAnsi="Times New Roman" w:eastAsia="Times New Roman" w:cs="Times New Roman"/>
          <w:sz w:val="20"/>
          <w:szCs w:val="20"/>
          <w:highlight w:val="white"/>
        </w:rPr>
        <w:t xml:space="preserve">пп. б) п 5.2.5 части I «ОБЩИЕ УЛОВИЯ ПРОВЕДЕНИЯ ЗАКУПКИ» документации о закупке заявку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Участника 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0"/>
          <w:szCs w:val="20"/>
          <w:u w:val="none"/>
        </w:rPr>
        <w:t xml:space="preserve">ООО "АС СЕВЕРОЗАПАД"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к дальнейшему рассмотрению не принимать 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ind w:left="0" w:right="168" w:firstLine="0"/>
        <w:jc w:val="both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0" w:right="170" w:firstLine="1134"/>
        <w:jc w:val="both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Закупочная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14"/>
        </w:numPr>
        <w:ind w:left="0" w:right="1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Участниками запроса предложений в электронной форме на электронной торговой площадке </w:t>
      </w:r>
      <w:hyperlink r:id="rId16" w:tooltip="https://etp.rosseti.ru" w:history="1">
        <w:r>
          <w:rPr>
            <w:rStyle w:val="934"/>
            <w:rFonts w:ascii="Times New Roman" w:hAnsi="Times New Roman" w:eastAsia="Times New Roman" w:cs="Times New Roman"/>
            <w:sz w:val="22"/>
            <w:szCs w:val="22"/>
            <w:lang w:val="en-US"/>
          </w:rPr>
          <w:t xml:space="preserve">https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://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  <w:lang w:val="en-US"/>
          </w:rPr>
          <w:t xml:space="preserve">tender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.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  <w:lang w:val="en-US"/>
          </w:rPr>
          <w:t xml:space="preserve">lot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-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  <w:lang w:val="en-US"/>
          </w:rPr>
          <w:t xml:space="preserve">online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.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  <w:lang w:val="en-US"/>
          </w:rPr>
          <w:t xml:space="preserve">ru</w:t>
        </w:r>
        <w:r>
          <w:rPr>
            <w:rStyle w:val="934"/>
            <w:rFonts w:ascii="Times New Roman" w:hAnsi="Times New Roman" w:eastAsia="Times New Roman" w:cs="Times New Roman"/>
            <w:sz w:val="22"/>
            <w:szCs w:val="22"/>
          </w:rPr>
          <w:t xml:space="preserve">/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 xml:space="preserve"> представлены заявки со следующими предложениями о цене договора: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17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5841"/>
        <w:gridCol w:w="3232"/>
        <w:gridCol w:w="3232"/>
      </w:tblGrid>
      <w:tr>
        <w:tblPrEx/>
        <w:trPr>
          <w:trHeight w:val="1014"/>
          <w:tblHeader/>
        </w:trPr>
        <w:tc>
          <w:tcPr>
            <w:tcBorders>
              <w:bottom w:val="single" w:color="auto" w:sz="4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5841" w:type="dxa"/>
            <w:vAlign w:val="center"/>
            <w:textDirection w:val="lrTb"/>
            <w:noWrap w:val="false"/>
          </w:tcPr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Участник запроса предложений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  <w:highlight w:val="none"/>
              </w:rPr>
              <w:t xml:space="preserve">в электронной форме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000000" w:sz="4" w:space="0"/>
            </w:tcBorders>
            <w:tcW w:w="3232" w:type="dxa"/>
            <w:vAlign w:val="center"/>
            <w:textDirection w:val="lrTb"/>
            <w:noWrap w:val="false"/>
          </w:tcPr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Предложение участника 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о цене договора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(руб. с НДС 20%)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bottom w:val="single" w:color="auto" w:sz="4" w:space="0"/>
            </w:tcBorders>
            <w:tcW w:w="3232" w:type="dxa"/>
            <w:vAlign w:val="center"/>
            <w:textDirection w:val="lrTb"/>
            <w:noWrap w:val="false"/>
          </w:tcPr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Предложение участника 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о цене договора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pStyle w:val="930"/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(руб. без НДС)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41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446310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АО "ГРУППА "СВЭЛ"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3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2 529 840,00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23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2 108 200,00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397"/>
        </w:trPr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41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446957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ООО "ЭЛЕКТРОЩИТ-К°"</w:t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</w:r>
            <w:r>
              <w:rPr>
                <w:rFonts w:ascii="Times New Roman" w:hAnsi="Times New Roman"/>
                <w:bCs/>
                <w:sz w:val="22"/>
                <w:szCs w:val="22"/>
                <w:vertAlign w:val="superscri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3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2 477 088,00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23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2 064 240,00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pStyle w:val="9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3- Закупочная комиссия при рассмотрении ценового предложения участника </w:t>
      </w:r>
      <w:r>
        <w:rPr>
          <w:sz w:val="18"/>
          <w:szCs w:val="18"/>
        </w:rPr>
        <w:t xml:space="preserve">№ 446957 - ООО "ЭЛЕКТРОЩИТ-К°"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определила, что участник не соответствует п. 16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раздела 2 части II «ИНФОРМАЦИОННАЯ КАРТА ЗАКУПКИ. ОТБОРОЧНЫ КРИТЕРИИ (ТРЕБОВАНИЯ. ДОКУМЕНТЫ СОДЕРЖАЩИЕ СВЕДЕНИЯ ДЛЯ РАССМОТРЕНИЯ И ОЦЕНКИПО КРИТЕРИЮ. С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ОСТАВ ЗАЯВКИ)» документации о закупке</w:t>
      </w:r>
      <w:r>
        <w:rPr>
          <w:sz w:val="18"/>
          <w:szCs w:val="18"/>
        </w:rPr>
        <w:t xml:space="preserve">: позиции 7, 11, 12, 13 </w:t>
      </w:r>
      <w:r>
        <w:rPr>
          <w:sz w:val="18"/>
          <w:szCs w:val="18"/>
        </w:rPr>
        <w:t xml:space="preserve">превышают стоимость за единицу товара Заказчика, что не соответствует п. 9 инструкцией </w:t>
      </w:r>
      <w:r>
        <w:rPr>
          <w:sz w:val="18"/>
          <w:szCs w:val="18"/>
          <w:lang w:eastAsia="en-US"/>
        </w:rPr>
        <w:t xml:space="preserve">по заполнению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lang w:eastAsia="en-US"/>
        </w:rPr>
        <w:t xml:space="preserve">формы 12 «Таблица цен» часть </w:t>
      </w:r>
      <w:r>
        <w:rPr>
          <w:sz w:val="18"/>
          <w:szCs w:val="18"/>
          <w:lang w:val="en-US" w:eastAsia="en-US"/>
        </w:rPr>
        <w:t xml:space="preserve">III</w:t>
      </w:r>
      <w:r>
        <w:rPr>
          <w:sz w:val="18"/>
          <w:szCs w:val="18"/>
          <w:lang w:eastAsia="en-US"/>
        </w:rPr>
        <w:t xml:space="preserve"> «ОБРАЗЦЫ ФОРМ ДЛЯ ЗАПОЛНЕНИЯ УЧАСТНИКАМИ ЗАКУПКИ».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ind w:left="0" w:right="2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sz w:val="18"/>
          <w:szCs w:val="18"/>
        </w:rPr>
        <w:t xml:space="preserve">По решению Закупочной комиссии данное отклонение считать существенным, на основании п. 3.5.2. части </w:t>
      </w:r>
      <w:r>
        <w:rPr>
          <w:sz w:val="18"/>
          <w:szCs w:val="18"/>
          <w:lang w:val="en-US"/>
        </w:rPr>
        <w:t xml:space="preserve">I</w:t>
      </w:r>
      <w:r>
        <w:rPr>
          <w:sz w:val="18"/>
          <w:szCs w:val="18"/>
        </w:rPr>
        <w:t xml:space="preserve"> «ОБЩИЕ УСЛОВИЯ ПРОВЕДЕНИЯ ЗАКУПКИ» документации о закупке заявка участника </w:t>
      </w:r>
      <w:r>
        <w:rPr>
          <w:rFonts w:ascii="Times New Roman" w:hAnsi="Times New Roman"/>
          <w:sz w:val="18"/>
          <w:szCs w:val="18"/>
        </w:rPr>
        <w:t xml:space="preserve">№ 446957 - ООО "ЭЛЕКТРОЩИТ-К°"</w:t>
      </w:r>
      <w:r>
        <w:rPr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 xml:space="preserve">к дальнейшему рассмотрению не принимается.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14"/>
        </w:numPr>
        <w:ind w:left="0" w:right="170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поставки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347" w:type="dxa"/>
        <w:jc w:val="center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79"/>
        <w:gridCol w:w="2693"/>
        <w:gridCol w:w="2267"/>
        <w:gridCol w:w="2906"/>
        <w:gridCol w:w="1702"/>
      </w:tblGrid>
      <w:tr>
        <w:tblPrEx/>
        <w:trPr>
          <w:cantSplit/>
          <w:jc w:val="center"/>
          <w:trHeight w:val="992"/>
          <w:tblHeader/>
        </w:trPr>
        <w:tc>
          <w:tcPr>
            <w:tcW w:w="779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93" w:type="dxa"/>
            <w:vAlign w:val="center"/>
            <w:textDirection w:val="lrTb"/>
            <w:noWrap w:val="false"/>
          </w:tcPr>
          <w:p>
            <w:pPr>
              <w:pStyle w:val="930"/>
              <w:tabs>
                <w:tab w:val="left" w:pos="284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запроса предложений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в электронной форме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267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поставки товара в соответствии с документацией о закупке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290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поставки товара, предложенный участником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jc w:val="center"/>
          <w:trHeight w:val="413"/>
        </w:trPr>
        <w:tc>
          <w:tcPr>
            <w:tcW w:w="779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ind w:left="-57" w:right="-57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№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446310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АО "ГРУППА "СВЭЛ"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2267" w:type="dxa"/>
            <w:vAlign w:val="center"/>
            <w:vMerge w:val="restart"/>
            <w:textDirection w:val="lrTb"/>
            <w:noWrap w:val="false"/>
          </w:tcPr>
          <w:p>
            <w:pPr>
              <w:pStyle w:val="926"/>
              <w:ind w:left="0"/>
              <w:jc w:val="center"/>
              <w:tabs>
                <w:tab w:val="left" w:pos="1418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 даты заключения договора – 25.12.2025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906" w:type="dxa"/>
            <w:vAlign w:val="center"/>
            <w:textDirection w:val="lrTb"/>
            <w:noWrap w:val="false"/>
          </w:tcPr>
          <w:p>
            <w:pPr>
              <w:pStyle w:val="926"/>
              <w:ind w:left="0"/>
              <w:jc w:val="center"/>
              <w:tabs>
                <w:tab w:val="left" w:pos="1418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 даты заключения договора – 25.12.2025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pStyle w:val="928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r>
    </w:p>
    <w:p>
      <w:pPr>
        <w:shd w:val="nil" w:color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Cs/>
          <w:sz w:val="22"/>
          <w:szCs w:val="22"/>
          <w:highlight w:val="none"/>
        </w:rPr>
        <w:br w:type="page" w:clear="all"/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3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Cs/>
          <w:sz w:val="22"/>
          <w:szCs w:val="22"/>
          <w:lang w:val="ru-RU"/>
        </w:rPr>
        <w:t xml:space="preserve">Закупочная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комиссия по результатам голосования решила: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1.В связи с тем, что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по результатам рассмотрению заявки принято решение о допуске одного участника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признать запрос предложений на право заключения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договора 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Поставка измерительных трансформаторов тока 10 кВ для нужд филиала ПAO«Россети Ленэнерго» «ВЭС» в количестве 80 шт. (251935)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несостоявшимся, в соответствии с п.п. в) п. 7.5.1. Единого Стандарта закупок ПАО «Россети» (Положение о закупке).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26"/>
        <w:jc w:val="both"/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Times New Roman" w:cs="Times New Roman"/>
          <w:bCs/>
          <w:sz w:val="22"/>
          <w:szCs w:val="22"/>
        </w:rPr>
      </w:r>
      <w:r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</w:p>
    <w:p>
      <w:pPr>
        <w:pStyle w:val="9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2. Признать участника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№ 446310 - АО "ГРУППА "СВЭЛ"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соответствующим всем требованиям извещения о закупке.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26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Times New Roman" w:cs="Times New Roman"/>
          <w:bCs/>
          <w:sz w:val="22"/>
          <w:szCs w:val="22"/>
        </w:rPr>
      </w:r>
      <w:r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</w:p>
    <w:p>
      <w:pPr>
        <w:pStyle w:val="926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3.Заключить с участником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№ 446310 - АО "ГРУППА "СВЭЛ"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договор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Поставка измерительных трансформаторов тока 10 кВ для нужд филиала ПAO«Россети Ленэнерго» «ВЭС» в количестве 80 шт. (251935)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на следующих условиях: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0" w:firstLine="0"/>
        <w:jc w:val="both"/>
        <w:widowControl w:val="off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958"/>
        <w:numPr>
          <w:ilvl w:val="0"/>
          <w:numId w:val="18"/>
        </w:numPr>
        <w:ind w:left="0" w:firstLine="709"/>
        <w:rPr>
          <w:rFonts w:ascii="Times New Roman" w:hAnsi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стоимость договора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2 529 840,00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 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руб.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 НДС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20%)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;</w:t>
      </w:r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000000"/>
          <w:sz w:val="22"/>
          <w:szCs w:val="22"/>
          <w:highlight w:val="none"/>
        </w:rPr>
      </w:r>
    </w:p>
    <w:p>
      <w:pPr>
        <w:pStyle w:val="958"/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поставки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 3 дня с даты заключения договора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926"/>
        <w:jc w:val="both"/>
        <w:tabs>
          <w:tab w:val="left" w:pos="1418" w:leader="none"/>
        </w:tabs>
        <w:rPr>
          <w:rFonts w:ascii="Times New Roman" w:hAnsi="Times New Roman"/>
          <w:iCs/>
          <w:sz w:val="22"/>
          <w:szCs w:val="22"/>
        </w:rPr>
      </w:pPr>
      <w:r>
        <w:rPr>
          <w:rFonts w:ascii="Times New Roman" w:hAnsi="Times New Roman"/>
          <w:iCs/>
          <w:sz w:val="22"/>
          <w:szCs w:val="22"/>
        </w:rPr>
        <w:t xml:space="preserve">Результаты голосования:</w:t>
      </w:r>
      <w:r/>
      <w:r>
        <w:rPr>
          <w:rFonts w:ascii="Times New Roman" w:hAnsi="Times New Roman"/>
          <w:iCs/>
          <w:sz w:val="22"/>
          <w:szCs w:val="22"/>
        </w:rPr>
      </w:r>
    </w:p>
    <w:p>
      <w:pPr>
        <w:pStyle w:val="92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«За» - ____ членов комиссии;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2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«Против» - ____ членов комиссии;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2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«Воздержался» - ____ членов комиссии;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2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«Отсутствовало» - ____ членов комиссии.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shd w:val="nil" w:color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sz w:val="22"/>
          <w:szCs w:val="22"/>
          <w:highlight w:val="none"/>
        </w:rPr>
        <w:br w:type="page" w:clear="all"/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125" w:type="dxa"/>
        <w:jc w:val="center"/>
        <w:tblLayout w:type="fixed"/>
        <w:tblLook w:val="04A0" w:firstRow="1" w:lastRow="0" w:firstColumn="1" w:lastColumn="0" w:noHBand="0" w:noVBand="1"/>
      </w:tblPr>
      <w:tblGrid>
        <w:gridCol w:w="1583"/>
        <w:gridCol w:w="1418"/>
        <w:gridCol w:w="1354"/>
        <w:gridCol w:w="1984"/>
        <w:gridCol w:w="3786"/>
      </w:tblGrid>
      <w:tr>
        <w:tblPrEx/>
        <w:trPr>
          <w:jc w:val="center"/>
          <w:trHeight w:val="7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Возд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./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Отсутст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671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Исполняющий обязанности начальника департамента логистики и МТО ПАО «Россети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2044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right w:val="single" w:color="000000" w:sz="4" w:space="0"/>
            </w:tcBorders>
            <w:tcW w:w="1354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621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83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54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                          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ПАО «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893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54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Чумак Ю.В.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Начальник отдела антикоррупционных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комплаенс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-процедур ПАО «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946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54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Заместитель начальника отдела правовой экспертизы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br/>
              <w:t xml:space="preserve">ПАО «Россети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805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54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Заместитель главного инженера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br/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032"/>
        </w:trPr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54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Начальник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тендерно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jc w:val="center"/>
          <w:trHeight w:val="137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Салей А.О.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78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специалист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 отдела подготовки и проведения конкурсов ПАО «Россети Ленэнерго»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eastAsia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709" w:left="992" w:header="284" w:footer="266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Times New Roman CYR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8"/>
      <w:jc w:val="center"/>
      <w:widowControl w:val="off"/>
      <w:tabs>
        <w:tab w:val="num" w:pos="1418" w:leader="none"/>
      </w:tabs>
      <w:rPr>
        <w:bCs/>
        <w:sz w:val="18"/>
        <w:szCs w:val="18"/>
      </w:rPr>
    </w:pPr>
    <w:r>
      <w:rPr>
        <w:bCs/>
        <w:sz w:val="18"/>
        <w:szCs w:val="18"/>
      </w:rPr>
      <w:t xml:space="preserve">Протокол №</w:t>
    </w:r>
    <w:r>
      <w:rPr>
        <w:bCs/>
        <w:sz w:val="18"/>
        <w:szCs w:val="18"/>
      </w:rPr>
      <w:t xml:space="preserve"> </w:t>
    </w:r>
    <w:r>
      <w:rPr>
        <w:bCs/>
        <w:sz w:val="18"/>
        <w:szCs w:val="18"/>
      </w:rPr>
      <w:t xml:space="preserve">251935</w:t>
    </w:r>
    <w:r>
      <w:rPr>
        <w:bCs/>
        <w:sz w:val="18"/>
        <w:szCs w:val="18"/>
      </w:rPr>
      <w:t xml:space="preserve">-6</w:t>
    </w:r>
    <w:r>
      <w:rPr>
        <w:bCs/>
        <w:sz w:val="18"/>
        <w:szCs w:val="18"/>
      </w:rPr>
    </w:r>
    <w:r>
      <w:rPr>
        <w:bCs/>
        <w:sz w:val="18"/>
        <w:szCs w:val="18"/>
      </w:rPr>
    </w:r>
  </w:p>
  <w:p>
    <w:pPr>
      <w:pStyle w:val="928"/>
      <w:jc w:val="center"/>
      <w:widowControl w:val="off"/>
      <w:tabs>
        <w:tab w:val="num" w:pos="1418" w:leader="none"/>
      </w:tabs>
      <w:rPr>
        <w:bCs/>
        <w:sz w:val="18"/>
        <w:szCs w:val="18"/>
      </w:rPr>
    </w:pPr>
    <w:r>
      <w:rPr>
        <w:bCs/>
        <w:sz w:val="18"/>
        <w:szCs w:val="18"/>
      </w:rPr>
      <w:t xml:space="preserve">страница </w:t>
    </w:r>
    <w:r>
      <w:rPr>
        <w:bCs/>
        <w:sz w:val="18"/>
        <w:szCs w:val="18"/>
      </w:rPr>
      <w:fldChar w:fldCharType="begin"/>
    </w:r>
    <w:r>
      <w:rPr>
        <w:bCs/>
        <w:sz w:val="18"/>
        <w:szCs w:val="18"/>
      </w:rPr>
      <w:instrText xml:space="preserve">PAGE</w:instrText>
    </w:r>
    <w:r>
      <w:rPr>
        <w:bCs/>
        <w:sz w:val="18"/>
        <w:szCs w:val="18"/>
      </w:rPr>
      <w:fldChar w:fldCharType="separate"/>
    </w:r>
    <w:r>
      <w:rPr>
        <w:bCs/>
        <w:sz w:val="18"/>
        <w:szCs w:val="18"/>
      </w:rPr>
      <w:t xml:space="preserve">2</w:t>
    </w:r>
    <w:r>
      <w:rPr>
        <w:bCs/>
        <w:sz w:val="18"/>
        <w:szCs w:val="18"/>
      </w:rPr>
      <w:fldChar w:fldCharType="end"/>
    </w:r>
    <w:r>
      <w:rPr>
        <w:bCs/>
        <w:sz w:val="18"/>
        <w:szCs w:val="18"/>
      </w:rPr>
      <w:t xml:space="preserve"> из </w:t>
    </w:r>
    <w:r>
      <w:rPr>
        <w:bCs/>
        <w:sz w:val="18"/>
        <w:szCs w:val="18"/>
      </w:rPr>
      <w:fldChar w:fldCharType="begin"/>
    </w:r>
    <w:r>
      <w:rPr>
        <w:bCs/>
        <w:sz w:val="18"/>
        <w:szCs w:val="18"/>
      </w:rPr>
      <w:instrText xml:space="preserve">NUMPAGES</w:instrText>
    </w:r>
    <w:r>
      <w:rPr>
        <w:bCs/>
        <w:sz w:val="18"/>
        <w:szCs w:val="18"/>
      </w:rPr>
      <w:fldChar w:fldCharType="separate"/>
    </w:r>
    <w:r>
      <w:rPr>
        <w:bCs/>
        <w:sz w:val="18"/>
        <w:szCs w:val="18"/>
      </w:rPr>
      <w:t xml:space="preserve">4</w:t>
    </w:r>
    <w:r>
      <w:rPr>
        <w:bCs/>
        <w:sz w:val="18"/>
        <w:szCs w:val="18"/>
      </w:rPr>
      <w:fldChar w:fldCharType="end"/>
    </w:r>
    <w:r>
      <w:rPr>
        <w:bCs/>
        <w:sz w:val="18"/>
        <w:szCs w:val="18"/>
      </w:rPr>
    </w:r>
    <w:r>
      <w:rPr>
        <w:bCs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69"/>
      <w:isLgl w:val="false"/>
      <w:suff w:val="tab"/>
      <w:lvlText w:val="%1."/>
      <w:lvlJc w:val="left"/>
      <w:pPr>
        <w:ind w:left="1209" w:hanging="360"/>
        <w:tabs>
          <w:tab w:val="num" w:pos="1209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  <w:rPr>
        <w:rFonts w:hint="default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8" w:hanging="360"/>
      </w:pPr>
      <w:rPr>
        <w:rFonts w:hint="default" w:ascii="Symbol" w:hAnsi="Symbol"/>
        <w:b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50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8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576" w:hanging="360"/>
      </w:pPr>
      <w:rPr>
        <w:rFonts w:hint="default" w:ascii="Symbol" w:hAnsi="Symbol"/>
        <w:b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4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6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0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2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68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18"/>
  </w:num>
  <w:num w:numId="3">
    <w:abstractNumId w:val="17"/>
  </w:num>
  <w:num w:numId="4">
    <w:abstractNumId w:val="3"/>
  </w:num>
  <w:num w:numId="5">
    <w:abstractNumId w:val="19"/>
  </w:num>
  <w:num w:numId="6">
    <w:abstractNumId w:val="7"/>
  </w:num>
  <w:num w:numId="7">
    <w:abstractNumId w:val="9"/>
  </w:num>
  <w:num w:numId="8">
    <w:abstractNumId w:val="14"/>
  </w:num>
  <w:num w:numId="9">
    <w:abstractNumId w:val="12"/>
  </w:num>
  <w:num w:numId="10">
    <w:abstractNumId w:val="23"/>
  </w:num>
  <w:num w:numId="11">
    <w:abstractNumId w:val="0"/>
  </w:num>
  <w:num w:numId="12">
    <w:abstractNumId w:val="4"/>
  </w:num>
  <w:num w:numId="13">
    <w:abstractNumId w:val="13"/>
  </w:num>
  <w:num w:numId="14">
    <w:abstractNumId w:val="10"/>
  </w:num>
  <w:num w:numId="15">
    <w:abstractNumId w:val="21"/>
  </w:num>
  <w:num w:numId="16">
    <w:abstractNumId w:val="20"/>
  </w:num>
  <w:num w:numId="17">
    <w:abstractNumId w:val="15"/>
  </w:num>
  <w:num w:numId="18">
    <w:abstractNumId w:val="16"/>
  </w:num>
  <w:num w:numId="19">
    <w:abstractNumId w:val="2"/>
  </w:num>
  <w:num w:numId="20">
    <w:abstractNumId w:val="8"/>
  </w:num>
  <w:num w:numId="21">
    <w:abstractNumId w:val="1"/>
  </w:num>
  <w:num w:numId="22">
    <w:abstractNumId w:val="6"/>
  </w:num>
  <w:num w:numId="23">
    <w:abstractNumId w:val="5"/>
  </w:num>
  <w:num w:numId="24">
    <w:abstractNumId w:val="11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8">
    <w:name w:val="Heading 1 Char"/>
    <w:basedOn w:val="931"/>
    <w:link w:val="927"/>
    <w:uiPriority w:val="9"/>
    <w:rPr>
      <w:rFonts w:ascii="Arial" w:hAnsi="Arial" w:eastAsia="Arial" w:cs="Arial"/>
      <w:sz w:val="40"/>
      <w:szCs w:val="40"/>
    </w:rPr>
  </w:style>
  <w:style w:type="character" w:styleId="759">
    <w:name w:val="Heading 2 Char"/>
    <w:basedOn w:val="931"/>
    <w:link w:val="928"/>
    <w:uiPriority w:val="9"/>
    <w:rPr>
      <w:rFonts w:ascii="Arial" w:hAnsi="Arial" w:eastAsia="Arial" w:cs="Arial"/>
      <w:sz w:val="34"/>
    </w:rPr>
  </w:style>
  <w:style w:type="paragraph" w:styleId="760">
    <w:name w:val="Heading 3"/>
    <w:basedOn w:val="926"/>
    <w:next w:val="926"/>
    <w:link w:val="7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1">
    <w:name w:val="Heading 3 Char"/>
    <w:basedOn w:val="931"/>
    <w:link w:val="760"/>
    <w:uiPriority w:val="9"/>
    <w:rPr>
      <w:rFonts w:ascii="Arial" w:hAnsi="Arial" w:eastAsia="Arial" w:cs="Arial"/>
      <w:sz w:val="30"/>
      <w:szCs w:val="30"/>
    </w:rPr>
  </w:style>
  <w:style w:type="paragraph" w:styleId="762">
    <w:name w:val="Heading 4"/>
    <w:basedOn w:val="926"/>
    <w:next w:val="926"/>
    <w:link w:val="7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3">
    <w:name w:val="Heading 4 Char"/>
    <w:basedOn w:val="931"/>
    <w:link w:val="762"/>
    <w:uiPriority w:val="9"/>
    <w:rPr>
      <w:rFonts w:ascii="Arial" w:hAnsi="Arial" w:eastAsia="Arial" w:cs="Arial"/>
      <w:b/>
      <w:bCs/>
      <w:sz w:val="26"/>
      <w:szCs w:val="26"/>
    </w:rPr>
  </w:style>
  <w:style w:type="character" w:styleId="764">
    <w:name w:val="Heading 5 Char"/>
    <w:basedOn w:val="931"/>
    <w:link w:val="929"/>
    <w:uiPriority w:val="9"/>
    <w:rPr>
      <w:rFonts w:ascii="Arial" w:hAnsi="Arial" w:eastAsia="Arial" w:cs="Arial"/>
      <w:b/>
      <w:bCs/>
      <w:sz w:val="24"/>
      <w:szCs w:val="24"/>
    </w:rPr>
  </w:style>
  <w:style w:type="paragraph" w:styleId="765">
    <w:name w:val="Heading 6"/>
    <w:basedOn w:val="926"/>
    <w:next w:val="926"/>
    <w:link w:val="76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6">
    <w:name w:val="Heading 6 Char"/>
    <w:basedOn w:val="931"/>
    <w:link w:val="765"/>
    <w:uiPriority w:val="9"/>
    <w:rPr>
      <w:rFonts w:ascii="Arial" w:hAnsi="Arial" w:eastAsia="Arial" w:cs="Arial"/>
      <w:b/>
      <w:bCs/>
      <w:sz w:val="22"/>
      <w:szCs w:val="22"/>
    </w:rPr>
  </w:style>
  <w:style w:type="paragraph" w:styleId="767">
    <w:name w:val="Heading 7"/>
    <w:basedOn w:val="926"/>
    <w:next w:val="926"/>
    <w:link w:val="7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8">
    <w:name w:val="Heading 7 Char"/>
    <w:basedOn w:val="931"/>
    <w:link w:val="76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9">
    <w:name w:val="Heading 8"/>
    <w:basedOn w:val="926"/>
    <w:next w:val="926"/>
    <w:link w:val="77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0">
    <w:name w:val="Heading 8 Char"/>
    <w:basedOn w:val="931"/>
    <w:link w:val="769"/>
    <w:uiPriority w:val="9"/>
    <w:rPr>
      <w:rFonts w:ascii="Arial" w:hAnsi="Arial" w:eastAsia="Arial" w:cs="Arial"/>
      <w:i/>
      <w:iCs/>
      <w:sz w:val="22"/>
      <w:szCs w:val="22"/>
    </w:rPr>
  </w:style>
  <w:style w:type="character" w:styleId="771">
    <w:name w:val="Heading 9 Char"/>
    <w:basedOn w:val="931"/>
    <w:link w:val="930"/>
    <w:uiPriority w:val="9"/>
    <w:rPr>
      <w:rFonts w:ascii="Arial" w:hAnsi="Arial" w:eastAsia="Arial" w:cs="Arial"/>
      <w:i/>
      <w:iCs/>
      <w:sz w:val="21"/>
      <w:szCs w:val="21"/>
    </w:rPr>
  </w:style>
  <w:style w:type="paragraph" w:styleId="772">
    <w:name w:val="No Spacing"/>
    <w:uiPriority w:val="1"/>
    <w:qFormat/>
    <w:pPr>
      <w:spacing w:before="0" w:after="0" w:line="240" w:lineRule="auto"/>
    </w:pPr>
  </w:style>
  <w:style w:type="paragraph" w:styleId="773">
    <w:name w:val="Title"/>
    <w:basedOn w:val="926"/>
    <w:next w:val="926"/>
    <w:link w:val="7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4">
    <w:name w:val="Title Char"/>
    <w:basedOn w:val="931"/>
    <w:link w:val="773"/>
    <w:uiPriority w:val="10"/>
    <w:rPr>
      <w:sz w:val="48"/>
      <w:szCs w:val="48"/>
    </w:rPr>
  </w:style>
  <w:style w:type="paragraph" w:styleId="775">
    <w:name w:val="Subtitle"/>
    <w:basedOn w:val="926"/>
    <w:next w:val="926"/>
    <w:link w:val="776"/>
    <w:uiPriority w:val="11"/>
    <w:qFormat/>
    <w:pPr>
      <w:spacing w:before="200" w:after="200"/>
    </w:pPr>
    <w:rPr>
      <w:sz w:val="24"/>
      <w:szCs w:val="24"/>
    </w:rPr>
  </w:style>
  <w:style w:type="character" w:styleId="776">
    <w:name w:val="Subtitle Char"/>
    <w:basedOn w:val="931"/>
    <w:link w:val="775"/>
    <w:uiPriority w:val="11"/>
    <w:rPr>
      <w:sz w:val="24"/>
      <w:szCs w:val="24"/>
    </w:rPr>
  </w:style>
  <w:style w:type="paragraph" w:styleId="777">
    <w:name w:val="Quote"/>
    <w:basedOn w:val="926"/>
    <w:next w:val="926"/>
    <w:link w:val="778"/>
    <w:uiPriority w:val="29"/>
    <w:qFormat/>
    <w:pPr>
      <w:ind w:left="720" w:right="720"/>
    </w:pPr>
    <w:rPr>
      <w:i/>
    </w:rPr>
  </w:style>
  <w:style w:type="character" w:styleId="778">
    <w:name w:val="Quote Char"/>
    <w:link w:val="777"/>
    <w:uiPriority w:val="29"/>
    <w:rPr>
      <w:i/>
    </w:rPr>
  </w:style>
  <w:style w:type="paragraph" w:styleId="779">
    <w:name w:val="Intense Quote"/>
    <w:basedOn w:val="926"/>
    <w:next w:val="926"/>
    <w:link w:val="7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0">
    <w:name w:val="Intense Quote Char"/>
    <w:link w:val="779"/>
    <w:uiPriority w:val="30"/>
    <w:rPr>
      <w:i/>
    </w:rPr>
  </w:style>
  <w:style w:type="character" w:styleId="781">
    <w:name w:val="Header Char"/>
    <w:basedOn w:val="931"/>
    <w:link w:val="935"/>
    <w:uiPriority w:val="99"/>
  </w:style>
  <w:style w:type="character" w:styleId="782">
    <w:name w:val="Footer Char"/>
    <w:basedOn w:val="931"/>
    <w:link w:val="936"/>
    <w:uiPriority w:val="99"/>
  </w:style>
  <w:style w:type="paragraph" w:styleId="783">
    <w:name w:val="Caption"/>
    <w:basedOn w:val="926"/>
    <w:next w:val="9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4">
    <w:name w:val="Caption Char"/>
    <w:basedOn w:val="783"/>
    <w:link w:val="936"/>
    <w:uiPriority w:val="99"/>
  </w:style>
  <w:style w:type="table" w:styleId="785">
    <w:name w:val="Table Grid Light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6">
    <w:name w:val="Plain Table 1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7">
    <w:name w:val="Plain Table 2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8">
    <w:name w:val="Plain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9">
    <w:name w:val="Plain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Plain Table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1">
    <w:name w:val="Grid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3">
    <w:name w:val="Grid Table 4 - Accent 1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4">
    <w:name w:val="Grid Table 4 - Accent 2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5">
    <w:name w:val="Grid Table 4 - Accent 3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6">
    <w:name w:val="Grid Table 4 - Accent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7">
    <w:name w:val="Grid Table 4 - Accent 5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8">
    <w:name w:val="Grid Table 4 - Accent 6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9">
    <w:name w:val="Grid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5 Dark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21">
    <w:name w:val="Grid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23">
    <w:name w:val="Grid Table 5 Dark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26">
    <w:name w:val="Grid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7">
    <w:name w:val="Grid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8">
    <w:name w:val="Grid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9">
    <w:name w:val="Grid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0">
    <w:name w:val="Grid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1">
    <w:name w:val="Grid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2">
    <w:name w:val="Grid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3">
    <w:name w:val="Grid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8">
    <w:name w:val="List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9">
    <w:name w:val="List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0">
    <w:name w:val="List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1">
    <w:name w:val="List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2">
    <w:name w:val="List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3">
    <w:name w:val="List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4">
    <w:name w:val="List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6">
    <w:name w:val="List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7">
    <w:name w:val="List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8">
    <w:name w:val="List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9">
    <w:name w:val="List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0">
    <w:name w:val="List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1">
    <w:name w:val="List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2">
    <w:name w:val="List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3">
    <w:name w:val="List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84">
    <w:name w:val="List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85">
    <w:name w:val="List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86">
    <w:name w:val="List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87">
    <w:name w:val="List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88">
    <w:name w:val="List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89">
    <w:name w:val="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0">
    <w:name w:val="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91">
    <w:name w:val="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2">
    <w:name w:val="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3">
    <w:name w:val="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4">
    <w:name w:val="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5">
    <w:name w:val="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6">
    <w:name w:val="Bordered &amp; 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7">
    <w:name w:val="Bordered &amp; 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98">
    <w:name w:val="Bordered &amp; 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9">
    <w:name w:val="Bordered &amp; 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00">
    <w:name w:val="Bordered &amp; 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01">
    <w:name w:val="Bordered &amp; 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02">
    <w:name w:val="Bordered &amp; 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03">
    <w:name w:val="Bordered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4">
    <w:name w:val="Bordered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5">
    <w:name w:val="Bordered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6">
    <w:name w:val="Bordered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7">
    <w:name w:val="Bordered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8">
    <w:name w:val="Bordered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9">
    <w:name w:val="Bordered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10">
    <w:name w:val="footnote text"/>
    <w:basedOn w:val="926"/>
    <w:link w:val="911"/>
    <w:uiPriority w:val="99"/>
    <w:semiHidden/>
    <w:unhideWhenUsed/>
    <w:pPr>
      <w:spacing w:after="40" w:line="240" w:lineRule="auto"/>
    </w:pPr>
    <w:rPr>
      <w:sz w:val="18"/>
    </w:rPr>
  </w:style>
  <w:style w:type="character" w:styleId="911">
    <w:name w:val="Footnote Text Char"/>
    <w:link w:val="910"/>
    <w:uiPriority w:val="99"/>
    <w:rPr>
      <w:sz w:val="18"/>
    </w:rPr>
  </w:style>
  <w:style w:type="character" w:styleId="912">
    <w:name w:val="footnote reference"/>
    <w:basedOn w:val="931"/>
    <w:uiPriority w:val="99"/>
    <w:unhideWhenUsed/>
    <w:rPr>
      <w:vertAlign w:val="superscript"/>
    </w:rPr>
  </w:style>
  <w:style w:type="paragraph" w:styleId="913">
    <w:name w:val="endnote text"/>
    <w:basedOn w:val="926"/>
    <w:link w:val="914"/>
    <w:uiPriority w:val="99"/>
    <w:semiHidden/>
    <w:unhideWhenUsed/>
    <w:pPr>
      <w:spacing w:after="0" w:line="240" w:lineRule="auto"/>
    </w:pPr>
    <w:rPr>
      <w:sz w:val="20"/>
    </w:rPr>
  </w:style>
  <w:style w:type="character" w:styleId="914">
    <w:name w:val="Endnote Text Char"/>
    <w:link w:val="913"/>
    <w:uiPriority w:val="99"/>
    <w:rPr>
      <w:sz w:val="20"/>
    </w:rPr>
  </w:style>
  <w:style w:type="character" w:styleId="915">
    <w:name w:val="endnote reference"/>
    <w:basedOn w:val="931"/>
    <w:uiPriority w:val="99"/>
    <w:semiHidden/>
    <w:unhideWhenUsed/>
    <w:rPr>
      <w:vertAlign w:val="superscript"/>
    </w:rPr>
  </w:style>
  <w:style w:type="paragraph" w:styleId="916">
    <w:name w:val="toc 1"/>
    <w:basedOn w:val="926"/>
    <w:next w:val="926"/>
    <w:uiPriority w:val="39"/>
    <w:unhideWhenUsed/>
    <w:pPr>
      <w:ind w:left="0" w:right="0" w:firstLine="0"/>
      <w:spacing w:after="57"/>
    </w:pPr>
  </w:style>
  <w:style w:type="paragraph" w:styleId="917">
    <w:name w:val="toc 2"/>
    <w:basedOn w:val="926"/>
    <w:next w:val="926"/>
    <w:uiPriority w:val="39"/>
    <w:unhideWhenUsed/>
    <w:pPr>
      <w:ind w:left="283" w:right="0" w:firstLine="0"/>
      <w:spacing w:after="57"/>
    </w:pPr>
  </w:style>
  <w:style w:type="paragraph" w:styleId="918">
    <w:name w:val="toc 4"/>
    <w:basedOn w:val="926"/>
    <w:next w:val="926"/>
    <w:uiPriority w:val="39"/>
    <w:unhideWhenUsed/>
    <w:pPr>
      <w:ind w:left="850" w:right="0" w:firstLine="0"/>
      <w:spacing w:after="57"/>
    </w:pPr>
  </w:style>
  <w:style w:type="paragraph" w:styleId="919">
    <w:name w:val="toc 5"/>
    <w:basedOn w:val="926"/>
    <w:next w:val="926"/>
    <w:uiPriority w:val="39"/>
    <w:unhideWhenUsed/>
    <w:pPr>
      <w:ind w:left="1134" w:right="0" w:firstLine="0"/>
      <w:spacing w:after="57"/>
    </w:pPr>
  </w:style>
  <w:style w:type="paragraph" w:styleId="920">
    <w:name w:val="toc 6"/>
    <w:basedOn w:val="926"/>
    <w:next w:val="926"/>
    <w:uiPriority w:val="39"/>
    <w:unhideWhenUsed/>
    <w:pPr>
      <w:ind w:left="1417" w:right="0" w:firstLine="0"/>
      <w:spacing w:after="57"/>
    </w:pPr>
  </w:style>
  <w:style w:type="paragraph" w:styleId="921">
    <w:name w:val="toc 7"/>
    <w:basedOn w:val="926"/>
    <w:next w:val="926"/>
    <w:uiPriority w:val="39"/>
    <w:unhideWhenUsed/>
    <w:pPr>
      <w:ind w:left="1701" w:right="0" w:firstLine="0"/>
      <w:spacing w:after="57"/>
    </w:pPr>
  </w:style>
  <w:style w:type="paragraph" w:styleId="922">
    <w:name w:val="toc 8"/>
    <w:basedOn w:val="926"/>
    <w:next w:val="926"/>
    <w:uiPriority w:val="39"/>
    <w:unhideWhenUsed/>
    <w:pPr>
      <w:ind w:left="1984" w:right="0" w:firstLine="0"/>
      <w:spacing w:after="57"/>
    </w:pPr>
  </w:style>
  <w:style w:type="paragraph" w:styleId="923">
    <w:name w:val="toc 9"/>
    <w:basedOn w:val="926"/>
    <w:next w:val="926"/>
    <w:uiPriority w:val="39"/>
    <w:unhideWhenUsed/>
    <w:pPr>
      <w:ind w:left="2268" w:right="0" w:firstLine="0"/>
      <w:spacing w:after="57"/>
    </w:pPr>
  </w:style>
  <w:style w:type="paragraph" w:styleId="924">
    <w:name w:val="TOC Heading"/>
    <w:uiPriority w:val="39"/>
    <w:unhideWhenUsed/>
  </w:style>
  <w:style w:type="paragraph" w:styleId="925">
    <w:name w:val="table of figures"/>
    <w:basedOn w:val="926"/>
    <w:next w:val="926"/>
    <w:uiPriority w:val="99"/>
    <w:unhideWhenUsed/>
    <w:pPr>
      <w:spacing w:after="0" w:afterAutospacing="0"/>
    </w:pPr>
  </w:style>
  <w:style w:type="paragraph" w:styleId="926" w:default="1">
    <w:name w:val="Normal"/>
    <w:qFormat/>
    <w:rPr>
      <w:sz w:val="24"/>
      <w:szCs w:val="24"/>
    </w:rPr>
  </w:style>
  <w:style w:type="paragraph" w:styleId="927">
    <w:name w:val="Heading 1"/>
    <w:basedOn w:val="926"/>
    <w:next w:val="926"/>
    <w:link w:val="953"/>
    <w:qFormat/>
    <w:pPr>
      <w:ind w:left="1134" w:hanging="1134"/>
      <w:keepLines/>
      <w:keepNext/>
      <w:pageBreakBefore/>
      <w:spacing w:before="480" w:after="240"/>
      <w:tabs>
        <w:tab w:val="num" w:pos="1134" w:leader="none"/>
      </w:tabs>
      <w:outlineLvl w:val="0"/>
    </w:pPr>
    <w:rPr>
      <w:rFonts w:ascii="Arial" w:hAnsi="Arial"/>
      <w:b/>
      <w:sz w:val="40"/>
    </w:rPr>
  </w:style>
  <w:style w:type="paragraph" w:styleId="928">
    <w:name w:val="Heading 2"/>
    <w:basedOn w:val="926"/>
    <w:next w:val="926"/>
    <w:qFormat/>
    <w:pPr>
      <w:jc w:val="both"/>
      <w:keepNext/>
      <w:outlineLvl w:val="1"/>
    </w:pPr>
  </w:style>
  <w:style w:type="paragraph" w:styleId="929">
    <w:name w:val="Heading 5"/>
    <w:basedOn w:val="926"/>
    <w:next w:val="926"/>
    <w:qFormat/>
    <w:pPr>
      <w:keepNext/>
      <w:outlineLvl w:val="4"/>
    </w:pPr>
    <w:rPr>
      <w:b/>
      <w:bCs/>
    </w:rPr>
  </w:style>
  <w:style w:type="paragraph" w:styleId="930">
    <w:name w:val="Heading 9"/>
    <w:basedOn w:val="926"/>
    <w:next w:val="926"/>
    <w:link w:val="970"/>
    <w:qFormat/>
    <w:pPr>
      <w:jc w:val="center"/>
      <w:keepNext/>
      <w:outlineLvl w:val="8"/>
    </w:pPr>
  </w:style>
  <w:style w:type="character" w:styleId="931" w:default="1">
    <w:name w:val="Default Paragraph Font"/>
    <w:uiPriority w:val="1"/>
    <w:unhideWhenUsed/>
  </w:style>
  <w:style w:type="table" w:styleId="9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3" w:default="1">
    <w:name w:val="No List"/>
    <w:uiPriority w:val="99"/>
    <w:semiHidden/>
    <w:unhideWhenUsed/>
  </w:style>
  <w:style w:type="character" w:styleId="934">
    <w:name w:val="Hyperlink"/>
    <w:rPr>
      <w:color w:val="0000ff"/>
      <w:u w:val="single"/>
    </w:rPr>
  </w:style>
  <w:style w:type="paragraph" w:styleId="935">
    <w:name w:val="Header"/>
    <w:basedOn w:val="926"/>
    <w:link w:val="946"/>
    <w:uiPriority w:val="99"/>
    <w:pPr>
      <w:tabs>
        <w:tab w:val="center" w:pos="4677" w:leader="none"/>
        <w:tab w:val="right" w:pos="9355" w:leader="none"/>
      </w:tabs>
    </w:pPr>
  </w:style>
  <w:style w:type="paragraph" w:styleId="936">
    <w:name w:val="Footer"/>
    <w:basedOn w:val="926"/>
    <w:link w:val="943"/>
    <w:uiPriority w:val="99"/>
    <w:pPr>
      <w:tabs>
        <w:tab w:val="center" w:pos="4677" w:leader="none"/>
        <w:tab w:val="right" w:pos="9355" w:leader="none"/>
      </w:tabs>
    </w:pPr>
  </w:style>
  <w:style w:type="paragraph" w:styleId="937">
    <w:name w:val="Balloon Text"/>
    <w:basedOn w:val="926"/>
    <w:link w:val="950"/>
    <w:semiHidden/>
    <w:rPr>
      <w:rFonts w:ascii="Tahoma" w:hAnsi="Tahoma"/>
      <w:sz w:val="16"/>
      <w:szCs w:val="16"/>
    </w:rPr>
  </w:style>
  <w:style w:type="paragraph" w:styleId="938">
    <w:name w:val="Body Text"/>
    <w:basedOn w:val="926"/>
    <w:link w:val="964"/>
    <w:pPr>
      <w:ind w:right="4961"/>
      <w:tabs>
        <w:tab w:val="left" w:pos="4536" w:leader="none"/>
      </w:tabs>
    </w:pPr>
  </w:style>
  <w:style w:type="paragraph" w:styleId="939" w:customStyle="1">
    <w:name w:val="Обычный1"/>
    <w:pPr>
      <w:spacing w:before="100" w:after="100"/>
    </w:pPr>
    <w:rPr>
      <w:sz w:val="24"/>
    </w:rPr>
  </w:style>
  <w:style w:type="paragraph" w:styleId="940">
    <w:name w:val="List Number"/>
    <w:basedOn w:val="926"/>
    <w:pPr>
      <w:jc w:val="both"/>
      <w:spacing w:before="60" w:line="360" w:lineRule="auto"/>
    </w:pPr>
    <w:rPr>
      <w:sz w:val="28"/>
    </w:rPr>
  </w:style>
  <w:style w:type="paragraph" w:styleId="941" w:customStyle="1">
    <w:name w:val="Пункт"/>
    <w:basedOn w:val="926"/>
    <w:link w:val="942"/>
    <w:pPr>
      <w:ind w:left="1134" w:hanging="1134"/>
      <w:jc w:val="both"/>
      <w:spacing w:line="360" w:lineRule="auto"/>
      <w:tabs>
        <w:tab w:val="num" w:pos="1134" w:leader="none"/>
      </w:tabs>
    </w:pPr>
    <w:rPr>
      <w:sz w:val="28"/>
    </w:rPr>
  </w:style>
  <w:style w:type="character" w:styleId="942" w:customStyle="1">
    <w:name w:val="Пункт Знак1"/>
    <w:link w:val="941"/>
    <w:rPr>
      <w:sz w:val="28"/>
      <w:lang w:val="ru-RU" w:eastAsia="ru-RU" w:bidi="ar-SA"/>
    </w:rPr>
  </w:style>
  <w:style w:type="character" w:styleId="943" w:customStyle="1">
    <w:name w:val="Нижний колонтитул Знак"/>
    <w:link w:val="936"/>
    <w:uiPriority w:val="99"/>
    <w:rPr>
      <w:rFonts w:ascii="Times New Roman CYR" w:hAnsi="Times New Roman CYR"/>
      <w:lang w:val="ru-RU" w:eastAsia="ru-RU" w:bidi="ar-SA"/>
    </w:rPr>
  </w:style>
  <w:style w:type="paragraph" w:styleId="944" w:customStyle="1">
    <w:name w:val="Стиль Основной текст с отступом + 12 пт По ширине Слева:  0 см П..."/>
    <w:basedOn w:val="945"/>
    <w:pPr>
      <w:ind w:left="0" w:firstLine="567"/>
      <w:jc w:val="both"/>
      <w:spacing w:after="0"/>
    </w:pPr>
  </w:style>
  <w:style w:type="paragraph" w:styleId="945">
    <w:name w:val="Body Text Indent"/>
    <w:basedOn w:val="926"/>
    <w:link w:val="957"/>
    <w:pPr>
      <w:ind w:left="283"/>
      <w:spacing w:after="120"/>
    </w:pPr>
  </w:style>
  <w:style w:type="character" w:styleId="946" w:customStyle="1">
    <w:name w:val="Верхний колонтитул Знак"/>
    <w:link w:val="935"/>
    <w:uiPriority w:val="99"/>
    <w:rPr>
      <w:rFonts w:ascii="Times New Roman CYR" w:hAnsi="Times New Roman CYR"/>
    </w:rPr>
  </w:style>
  <w:style w:type="character" w:styleId="947" w:customStyle="1">
    <w:name w:val="комментарий"/>
    <w:rPr>
      <w:b/>
      <w:i/>
      <w:shd w:val="clear" w:color="auto" w:fill="ffff99"/>
    </w:rPr>
  </w:style>
  <w:style w:type="paragraph" w:styleId="948" w:customStyle="1">
    <w:name w:val="Название1"/>
    <w:basedOn w:val="926"/>
    <w:link w:val="949"/>
    <w:qFormat/>
    <w:pPr>
      <w:jc w:val="center"/>
    </w:pPr>
    <w:rPr>
      <w:b/>
      <w:sz w:val="22"/>
    </w:rPr>
  </w:style>
  <w:style w:type="character" w:styleId="949" w:customStyle="1">
    <w:name w:val="Название Знак"/>
    <w:link w:val="948"/>
    <w:rPr>
      <w:b/>
      <w:sz w:val="22"/>
    </w:rPr>
  </w:style>
  <w:style w:type="character" w:styleId="950" w:customStyle="1">
    <w:name w:val="Текст выноски Знак"/>
    <w:link w:val="937"/>
    <w:semiHidden/>
    <w:rPr>
      <w:rFonts w:ascii="Tahoma" w:hAnsi="Tahoma" w:cs="Tahoma"/>
      <w:sz w:val="16"/>
      <w:szCs w:val="16"/>
    </w:rPr>
  </w:style>
  <w:style w:type="paragraph" w:styleId="951" w:customStyle="1">
    <w:name w:val="Обычный2"/>
    <w:pPr>
      <w:spacing w:before="100" w:after="100"/>
    </w:pPr>
    <w:rPr>
      <w:sz w:val="24"/>
    </w:rPr>
  </w:style>
  <w:style w:type="character" w:styleId="952">
    <w:name w:val="Strong"/>
    <w:uiPriority w:val="22"/>
    <w:qFormat/>
    <w:rPr>
      <w:b/>
      <w:bCs/>
    </w:rPr>
  </w:style>
  <w:style w:type="character" w:styleId="953" w:customStyle="1">
    <w:name w:val="Заголовок 1 Знак"/>
    <w:link w:val="927"/>
    <w:rPr>
      <w:rFonts w:ascii="Arial" w:hAnsi="Arial"/>
      <w:b/>
      <w:sz w:val="40"/>
    </w:rPr>
  </w:style>
  <w:style w:type="paragraph" w:styleId="954" w:customStyle="1">
    <w:name w:val="Подпункт"/>
    <w:basedOn w:val="941"/>
    <w:link w:val="967"/>
    <w:pPr>
      <w:ind w:left="1276"/>
      <w:tabs>
        <w:tab w:val="clear" w:pos="1134" w:leader="none"/>
        <w:tab w:val="num" w:pos="1276" w:leader="none"/>
      </w:tabs>
    </w:pPr>
  </w:style>
  <w:style w:type="paragraph" w:styleId="955" w:customStyle="1">
    <w:name w:val="Подподпункт"/>
    <w:basedOn w:val="954"/>
    <w:link w:val="956"/>
    <w:pPr>
      <w:ind w:left="1702" w:hanging="567"/>
      <w:tabs>
        <w:tab w:val="clear" w:pos="1276" w:leader="none"/>
        <w:tab w:val="num" w:pos="1702" w:leader="none"/>
      </w:tabs>
    </w:pPr>
  </w:style>
  <w:style w:type="character" w:styleId="956" w:customStyle="1">
    <w:name w:val="Подподпункт Знак"/>
    <w:link w:val="955"/>
    <w:rPr>
      <w:sz w:val="28"/>
    </w:rPr>
  </w:style>
  <w:style w:type="character" w:styleId="957" w:customStyle="1">
    <w:name w:val="Основной текст с отступом Знак"/>
    <w:link w:val="945"/>
    <w:rPr>
      <w:rFonts w:ascii="Times New Roman CYR" w:hAnsi="Times New Roman CYR"/>
    </w:rPr>
  </w:style>
  <w:style w:type="paragraph" w:styleId="958">
    <w:name w:val="List Paragraph"/>
    <w:basedOn w:val="926"/>
    <w:link w:val="971"/>
    <w:uiPriority w:val="34"/>
    <w:qFormat/>
    <w:pPr>
      <w:contextualSpacing/>
      <w:ind w:left="720"/>
    </w:pPr>
  </w:style>
  <w:style w:type="table" w:styleId="959">
    <w:name w:val="Table Grid"/>
    <w:basedOn w:val="93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60" w:customStyle="1">
    <w:name w:val="Основной текст_"/>
    <w:link w:val="961"/>
    <w:rPr>
      <w:sz w:val="18"/>
      <w:szCs w:val="18"/>
      <w:shd w:val="clear" w:color="auto" w:fill="ffffff"/>
    </w:rPr>
  </w:style>
  <w:style w:type="paragraph" w:styleId="961" w:customStyle="1">
    <w:name w:val="Основной текст2"/>
    <w:basedOn w:val="926"/>
    <w:link w:val="960"/>
    <w:pPr>
      <w:ind w:firstLine="2280"/>
      <w:spacing w:after="240" w:line="235" w:lineRule="exact"/>
      <w:shd w:val="clear" w:color="auto" w:fill="ffffff"/>
      <w:widowControl w:val="off"/>
    </w:pPr>
    <w:rPr>
      <w:sz w:val="18"/>
      <w:szCs w:val="18"/>
    </w:rPr>
  </w:style>
  <w:style w:type="paragraph" w:styleId="962">
    <w:name w:val="Body Text Indent 2"/>
    <w:basedOn w:val="926"/>
    <w:link w:val="963"/>
    <w:pPr>
      <w:ind w:left="283"/>
      <w:spacing w:after="120" w:line="480" w:lineRule="auto"/>
    </w:pPr>
  </w:style>
  <w:style w:type="character" w:styleId="963" w:customStyle="1">
    <w:name w:val="Основной текст с отступом 2 Знак"/>
    <w:link w:val="962"/>
    <w:rPr>
      <w:rFonts w:ascii="Times New Roman CYR" w:hAnsi="Times New Roman CYR"/>
    </w:rPr>
  </w:style>
  <w:style w:type="character" w:styleId="964" w:customStyle="1">
    <w:name w:val="Основной текст Знак"/>
    <w:link w:val="938"/>
    <w:rPr>
      <w:rFonts w:ascii="Times New Roman CYR" w:hAnsi="Times New Roman CYR"/>
      <w:sz w:val="24"/>
    </w:rPr>
  </w:style>
  <w:style w:type="character" w:styleId="965">
    <w:name w:val="FollowedHyperlink"/>
    <w:rPr>
      <w:color w:val="800080"/>
      <w:u w:val="single"/>
    </w:rPr>
  </w:style>
  <w:style w:type="paragraph" w:styleId="966">
    <w:name w:val="toc 3"/>
    <w:basedOn w:val="926"/>
    <w:next w:val="926"/>
    <w:uiPriority w:val="99"/>
    <w:pPr>
      <w:ind w:left="1979" w:right="1134" w:hanging="902"/>
      <w:spacing w:after="120"/>
      <w:tabs>
        <w:tab w:val="left" w:pos="1980" w:leader="none"/>
        <w:tab w:val="right" w:pos="10195" w:leader="dot"/>
      </w:tabs>
    </w:pPr>
  </w:style>
  <w:style w:type="character" w:styleId="967" w:customStyle="1">
    <w:name w:val="Подпункт Знак1"/>
    <w:link w:val="954"/>
    <w:rPr>
      <w:sz w:val="28"/>
      <w:szCs w:val="24"/>
    </w:rPr>
  </w:style>
  <w:style w:type="paragraph" w:styleId="968" w:customStyle="1">
    <w:name w:val="Служебный"/>
    <w:basedOn w:val="926"/>
    <w:semiHidden/>
    <w:pPr>
      <w:pageBreakBefore/>
      <w:spacing w:before="480" w:after="240"/>
      <w:tabs>
        <w:tab w:val="left" w:pos="851" w:leader="none"/>
      </w:tabs>
      <w:outlineLvl w:val="0"/>
    </w:pPr>
    <w:rPr>
      <w:rFonts w:ascii="Arial" w:hAnsi="Arial" w:cs="Arial"/>
      <w:b/>
      <w:bCs/>
      <w:sz w:val="36"/>
      <w:szCs w:val="36"/>
    </w:rPr>
  </w:style>
  <w:style w:type="paragraph" w:styleId="969">
    <w:name w:val="List Number 4"/>
    <w:basedOn w:val="926"/>
    <w:pPr>
      <w:numPr>
        <w:ilvl w:val="0"/>
        <w:numId w:val="11"/>
      </w:numPr>
      <w:contextualSpacing/>
    </w:pPr>
  </w:style>
  <w:style w:type="character" w:styleId="970" w:customStyle="1">
    <w:name w:val="Заголовок 9 Знак"/>
    <w:link w:val="930"/>
    <w:rPr>
      <w:sz w:val="24"/>
      <w:szCs w:val="24"/>
    </w:rPr>
  </w:style>
  <w:style w:type="character" w:styleId="971" w:customStyle="1">
    <w:name w:val="Абзац списка Знак"/>
    <w:link w:val="958"/>
    <w:uiPriority w:val="34"/>
    <w:qFormat/>
    <w:rPr>
      <w:sz w:val="24"/>
      <w:szCs w:val="24"/>
    </w:rPr>
  </w:style>
  <w:style w:type="paragraph" w:styleId="972" w:customStyle="1">
    <w:name w:val="Обычный3"/>
    <w:pPr>
      <w:spacing w:before="100" w:after="100"/>
    </w:pPr>
    <w:rPr>
      <w:sz w:val="24"/>
    </w:rPr>
  </w:style>
  <w:style w:type="paragraph" w:styleId="973" w:customStyle="1">
    <w:name w:val="Заголовок 2"/>
    <w:basedOn w:val="955"/>
    <w:next w:val="955"/>
    <w:link w:val="962"/>
    <w:qFormat/>
    <w:pPr>
      <w:contextualSpacing w:val="0"/>
      <w:ind w:left="0" w:right="0" w:firstLine="0"/>
      <w:jc w:val="both"/>
      <w:keepLines w:val="0"/>
      <w:keepNext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1"/>
      <w:suppressLineNumbers w:val="0"/>
    </w:pPr>
    <w:rPr>
      <w:rFonts w:ascii="Times New Roman CYR" w:hAnsi="Times New Roman CYR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974" w:customStyle="1">
    <w:name w:val="Гиперссылка"/>
    <w:next w:val="965"/>
    <w:link w:val="955"/>
    <w:rPr>
      <w:color w:val="0000ff"/>
      <w:u w:val="single"/>
    </w:rPr>
  </w:style>
  <w:style w:type="paragraph" w:styleId="975" w:customStyle="1">
    <w:name w:val="Заголовок 9"/>
    <w:basedOn w:val="955"/>
    <w:next w:val="955"/>
    <w:link w:val="964"/>
    <w:qFormat/>
    <w:pPr>
      <w:contextualSpacing w:val="0"/>
      <w:ind w:left="0" w:right="0" w:firstLine="0"/>
      <w:jc w:val="center"/>
      <w:keepLines w:val="0"/>
      <w:keepNext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8"/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tender.lot-online.ru/" TargetMode="External"/><Relationship Id="rId12" Type="http://schemas.openxmlformats.org/officeDocument/2006/relationships/hyperlink" Target="https://tender.lot-online.ru/" TargetMode="External"/><Relationship Id="rId13" Type="http://schemas.openxmlformats.org/officeDocument/2006/relationships/hyperlink" Target="http://www.zakupki.gov.ru" TargetMode="External"/><Relationship Id="rId14" Type="http://schemas.openxmlformats.org/officeDocument/2006/relationships/hyperlink" Target="https://tender.lot-online.ru/" TargetMode="External"/><Relationship Id="rId15" Type="http://schemas.openxmlformats.org/officeDocument/2006/relationships/hyperlink" Target="https://tender.lot-online.ru/" TargetMode="External"/><Relationship Id="rId16" Type="http://schemas.openxmlformats.org/officeDocument/2006/relationships/hyperlink" Target="https://etp.rosseti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29F72-1F97-4160-BC30-CD3AF1289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Home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140273</dc:title>
  <dc:subject/>
  <dc:creator>1</dc:creator>
  <cp:keywords/>
  <cp:revision>61</cp:revision>
  <dcterms:created xsi:type="dcterms:W3CDTF">2024-05-17T06:30:00Z</dcterms:created>
  <dcterms:modified xsi:type="dcterms:W3CDTF">2025-12-15T13:22:26Z</dcterms:modified>
</cp:coreProperties>
</file>