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57"/>
        <w:jc w:val="center"/>
        <w:spacing w:before="0" w:beforeAutospacing="0" w:after="0" w:afterAutospacing="0"/>
        <w:rPr>
          <w:rFonts w:ascii="Times New Roman" w:hAnsi="Times New Roman" w:cs="Times New Roman"/>
          <w:b/>
          <w:i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ПРОТОКОЛ ЗАСЕДАНИЯ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center"/>
        <w:tabs>
          <w:tab w:val="left" w:pos="426" w:leader="none"/>
        </w:tabs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ПОСТОЯННО ДЕЙСТВУЮЩЕЙ ЗАКУПОЧНОЙ КОМИССИИ</w:t>
      </w:r>
      <w:r>
        <w:rPr>
          <w:b/>
          <w:bCs/>
          <w:i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highlight w:val="white"/>
        </w:rPr>
        <w:t xml:space="preserve"> 32515467036</w:t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highlight w:val="white"/>
        </w:rPr>
        <w:t xml:space="preserve">/</w:t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highlight w:val="white"/>
        </w:rPr>
        <w:t xml:space="preserve">1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</w:r>
      <w:r>
        <w:rPr>
          <w:rFonts w:ascii="Times New Roman" w:hAnsi="Times New Roman" w:cs="Times New Roman"/>
          <w:b/>
          <w:bCs/>
          <w:i/>
          <w:sz w:val="24"/>
          <w:szCs w:val="24"/>
        </w:rPr>
      </w:r>
    </w:p>
    <w:p>
      <w:pPr>
        <w:pStyle w:val="957"/>
        <w:jc w:val="center"/>
        <w:tabs>
          <w:tab w:val="left" w:pos="426" w:leader="none"/>
        </w:tabs>
        <w:rPr>
          <w:b/>
          <w:bCs/>
          <w:i/>
          <w:iCs/>
          <w:sz w:val="24"/>
          <w:szCs w:val="24"/>
          <w:highlight w:val="white"/>
        </w:rPr>
      </w:pPr>
      <w:r>
        <w:rPr>
          <w:b/>
          <w:bCs/>
          <w:i/>
          <w:iCs/>
          <w:sz w:val="24"/>
          <w:szCs w:val="24"/>
          <w:highlight w:val="white"/>
        </w:rPr>
      </w:r>
      <w:r>
        <w:rPr>
          <w:b/>
          <w:bCs/>
          <w:i/>
          <w:iCs/>
          <w:sz w:val="24"/>
          <w:szCs w:val="24"/>
          <w:highlight w:val="white"/>
        </w:rPr>
      </w:r>
      <w:r>
        <w:rPr>
          <w:b/>
          <w:bCs/>
          <w:i/>
          <w:iCs/>
          <w:sz w:val="24"/>
          <w:szCs w:val="24"/>
          <w:highlight w:val="white"/>
        </w:rPr>
      </w:r>
    </w:p>
    <w:p>
      <w:pPr>
        <w:pStyle w:val="957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ата заседания комиссии: 15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декабря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2025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года.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57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Дата подписания протокола: 15 декабря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2025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года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57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Форма проведения заседания комиссии: очно-заочная.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57"/>
        <w:jc w:val="both"/>
        <w:tabs>
          <w:tab w:val="left" w:pos="426" w:leader="none"/>
        </w:tabs>
        <w:rPr>
          <w:sz w:val="23"/>
          <w:szCs w:val="23"/>
        </w:rPr>
      </w:pPr>
      <w:r>
        <w:rPr>
          <w:sz w:val="24"/>
          <w:szCs w:val="24"/>
        </w:rPr>
        <w:t xml:space="preserve">Общее число членов постоянно действующей закупочной комиссии филиала ПАО «Россети Юг» - «Кубаньэнерго» составляет - 9 (девять)</w:t>
      </w:r>
      <w:r>
        <w:rPr>
          <w:sz w:val="24"/>
          <w:szCs w:val="24"/>
        </w:rPr>
        <w:t xml:space="preserve">.</w:t>
      </w:r>
      <w:r>
        <w:rPr>
          <w:sz w:val="23"/>
          <w:szCs w:val="23"/>
        </w:rPr>
      </w:r>
      <w:r>
        <w:rPr>
          <w:sz w:val="23"/>
          <w:szCs w:val="23"/>
        </w:rPr>
      </w:r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0490"/>
      </w:tblGrid>
      <w:tr>
        <w:tblPrEx/>
        <w:trPr>
          <w:trHeight w:val="1048"/>
        </w:trPr>
        <w:tc>
          <w:tcPr>
            <w:tcW w:w="10490" w:type="dxa"/>
            <w:vAlign w:val="top"/>
            <w:textDirection w:val="lrTb"/>
            <w:noWrap w:val="false"/>
          </w:tcPr>
          <w:p>
            <w:pPr>
              <w:pStyle w:val="957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Голосовали: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57"/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П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редседател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ь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ПДЗК:</w:t>
            </w:r>
            <w:r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 xml:space="preserve">В.А. Коржаневский.</w:t>
            </w:r>
            <w:r>
              <w:rPr>
                <w:bCs/>
                <w:color w:val="000000"/>
                <w:sz w:val="24"/>
                <w:szCs w:val="24"/>
              </w:rPr>
            </w:r>
            <w:r>
              <w:rPr>
                <w:bCs/>
                <w:color w:val="000000"/>
                <w:sz w:val="24"/>
                <w:szCs w:val="24"/>
              </w:rPr>
            </w:r>
          </w:p>
          <w:p>
            <w:pPr>
              <w:pStyle w:val="957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Заместитель председателя ПДЗК: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О.Ф. Нищук.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57"/>
              <w:jc w:val="both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Члены ПДЗК:</w:t>
            </w:r>
            <w:r>
              <w:rPr>
                <w:color w:val="000000"/>
                <w:sz w:val="24"/>
                <w:szCs w:val="24"/>
              </w:rPr>
              <w:t xml:space="preserve"> С.С. Шевченко, А.А. Часов, </w:t>
            </w:r>
            <w:r>
              <w:rPr>
                <w:bCs/>
                <w:color w:val="000000"/>
                <w:sz w:val="24"/>
                <w:szCs w:val="24"/>
              </w:rPr>
              <w:t xml:space="preserve">Д.А. Коновалов</w:t>
            </w:r>
            <w:r>
              <w:rPr>
                <w:color w:val="000000"/>
                <w:sz w:val="24"/>
                <w:szCs w:val="24"/>
              </w:rPr>
              <w:t xml:space="preserve">, О.В. Бабак.</w:t>
            </w:r>
            <w:r>
              <w:rPr>
                <w:color w:val="00000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</w:r>
          </w:p>
          <w:p>
            <w:pPr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Не приняли участие в голосовании: </w:t>
            </w:r>
            <w:r>
              <w:rPr>
                <w:sz w:val="24"/>
                <w:szCs w:val="24"/>
              </w:rPr>
              <w:t xml:space="preserve">В.А. Михайлов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color w:val="000000"/>
                <w:sz w:val="24"/>
                <w:szCs w:val="24"/>
              </w:rPr>
              <w:t xml:space="preserve">О.В. Крылов, С.С. Заворин.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</w:tc>
      </w:tr>
    </w:tbl>
    <w:p>
      <w:pPr>
        <w:pStyle w:val="957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Кворум имеется. Комиссия правомочна.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57"/>
        <w:jc w:val="both"/>
        <w:tabs>
          <w:tab w:val="left" w:pos="426" w:leader="none"/>
          <w:tab w:val="left" w:pos="709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Настоящий </w:t>
      </w:r>
      <w:r>
        <w:rPr>
          <w:bCs/>
          <w:sz w:val="24"/>
          <w:szCs w:val="24"/>
        </w:rPr>
        <w:t xml:space="preserve">запрос цен по результатам предварительного отбора</w:t>
      </w:r>
      <w:r>
        <w:rPr>
          <w:sz w:val="24"/>
          <w:szCs w:val="24"/>
        </w:rPr>
        <w:t xml:space="preserve"> в электронной форме проводится с использованием функционала</w:t>
      </w:r>
      <w:r>
        <w:rPr>
          <w:sz w:val="24"/>
          <w:szCs w:val="24"/>
        </w:rPr>
        <w:t xml:space="preserve"> Единой электронной торговой площадки </w:t>
      </w:r>
      <w:r>
        <w:rPr>
          <w:sz w:val="24"/>
          <w:szCs w:val="24"/>
        </w:rPr>
        <w:t xml:space="preserve">«</w:t>
      </w:r>
      <w:r>
        <w:rPr>
          <w:sz w:val="24"/>
          <w:szCs w:val="24"/>
        </w:rPr>
        <w:t xml:space="preserve">Росэлторг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  <w:t xml:space="preserve"> (далее – ЕЭТП) согласно Правилам работы данной системы.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91"/>
        <w:numPr>
          <w:ilvl w:val="0"/>
          <w:numId w:val="32"/>
        </w:numPr>
        <w:ind w:left="0" w:firstLine="0"/>
        <w:jc w:val="both"/>
        <w:spacing w:after="0"/>
        <w:tabs>
          <w:tab w:val="left" w:pos="284" w:leader="none"/>
          <w:tab w:val="left" w:pos="426" w:leader="none"/>
        </w:tabs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ВОПРОСЫ ЗАСЕДАНИЯ 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ПОСТОЯННО ДЕЙСТВУЮЩЕЙ ЗАКУПОЧНОЙ КОМИССИИ</w:t>
      </w:r>
      <w:r>
        <w:rPr>
          <w:b/>
          <w:bCs/>
          <w:caps/>
          <w:sz w:val="24"/>
          <w:szCs w:val="24"/>
        </w:rPr>
        <w:t xml:space="preserve">: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987"/>
        <w:numPr>
          <w:ilvl w:val="0"/>
          <w:numId w:val="43"/>
        </w:numPr>
        <w:contextualSpacing/>
        <w:ind w:left="0" w:firstLine="0"/>
        <w:jc w:val="both"/>
        <w:widowControl w:val="off"/>
        <w:tabs>
          <w:tab w:val="left" w:pos="284" w:leader="none"/>
        </w:tabs>
      </w:pPr>
      <w:r>
        <w:t xml:space="preserve">О переносе сроков.</w:t>
      </w:r>
      <w:r/>
      <w:r/>
    </w:p>
    <w:p>
      <w:pPr>
        <w:pStyle w:val="987"/>
        <w:numPr>
          <w:ilvl w:val="0"/>
          <w:numId w:val="43"/>
        </w:numPr>
        <w:contextualSpacing/>
        <w:ind w:left="0" w:firstLine="0"/>
        <w:jc w:val="both"/>
        <w:widowControl w:val="off"/>
        <w:tabs>
          <w:tab w:val="left" w:pos="284" w:leader="none"/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 </w:t>
      </w:r>
      <w:r>
        <w:rPr>
          <w:sz w:val="24"/>
          <w:szCs w:val="24"/>
        </w:rPr>
        <w:t xml:space="preserve">признании заявки участника соответствующей условиям запроса цен по результатам предварительного отбора.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87"/>
        <w:numPr>
          <w:ilvl w:val="0"/>
          <w:numId w:val="43"/>
        </w:numPr>
        <w:contextualSpacing/>
        <w:ind w:left="0" w:firstLine="0"/>
        <w:jc w:val="both"/>
        <w:tabs>
          <w:tab w:val="left" w:pos="284" w:leader="none"/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 признании запроса цен по результатам предварительного отбора несостоявшимся и согласовании заключения договора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91"/>
        <w:numPr>
          <w:ilvl w:val="0"/>
          <w:numId w:val="32"/>
        </w:numPr>
        <w:ind w:left="0" w:firstLine="0"/>
        <w:jc w:val="both"/>
        <w:spacing w:after="0"/>
        <w:tabs>
          <w:tab w:val="left" w:pos="284" w:leader="none"/>
          <w:tab w:val="left" w:pos="426" w:leader="none"/>
        </w:tabs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 xml:space="preserve">Информация о закупке.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957"/>
        <w:numPr>
          <w:ilvl w:val="0"/>
          <w:numId w:val="34"/>
        </w:numPr>
        <w:ind w:left="0" w:firstLine="0"/>
        <w:jc w:val="both"/>
        <w:tabs>
          <w:tab w:val="left" w:pos="284" w:leader="none"/>
          <w:tab w:val="left" w:pos="426" w:leader="none"/>
        </w:tabs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Извещение </w:t>
      </w:r>
      <w:r>
        <w:rPr>
          <w:bCs/>
          <w:iCs/>
          <w:sz w:val="24"/>
          <w:szCs w:val="24"/>
        </w:rPr>
        <w:t xml:space="preserve">о проведении </w:t>
      </w:r>
      <w:r>
        <w:rPr>
          <w:sz w:val="24"/>
          <w:szCs w:val="24"/>
        </w:rPr>
        <w:t xml:space="preserve">запроса цен по результатам предварительного отбора</w:t>
      </w:r>
      <w:r>
        <w:rPr>
          <w:bCs/>
          <w:iCs/>
          <w:sz w:val="24"/>
          <w:szCs w:val="24"/>
        </w:rPr>
        <w:t xml:space="preserve"> в электронной форме от 28</w:t>
      </w:r>
      <w:r>
        <w:rPr>
          <w:bCs/>
          <w:iCs/>
          <w:sz w:val="24"/>
          <w:szCs w:val="24"/>
        </w:rPr>
        <w:t xml:space="preserve">.11</w:t>
      </w:r>
      <w:r>
        <w:rPr>
          <w:bCs/>
          <w:iCs/>
          <w:sz w:val="24"/>
          <w:szCs w:val="24"/>
        </w:rPr>
        <w:t xml:space="preserve">.2025</w:t>
      </w:r>
      <w:r>
        <w:rPr>
          <w:bCs/>
          <w:sz w:val="24"/>
          <w:szCs w:val="24"/>
        </w:rPr>
        <w:t xml:space="preserve"> </w:t>
      </w:r>
      <w:r>
        <w:rPr>
          <w:bCs/>
          <w:iCs/>
          <w:sz w:val="24"/>
          <w:szCs w:val="24"/>
        </w:rPr>
        <w:t xml:space="preserve">№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32515467036</w:t>
      </w:r>
      <w:r>
        <w:rPr>
          <w:bCs/>
          <w:i w:val="0"/>
          <w:iCs w:val="0"/>
          <w:sz w:val="24"/>
          <w:szCs w:val="24"/>
          <w:highlight w:val="white"/>
        </w:rPr>
        <w:t xml:space="preserve">,</w:t>
      </w:r>
      <w:r>
        <w:rPr>
          <w:bCs/>
          <w:i w:val="0"/>
          <w:iCs w:val="0"/>
          <w:sz w:val="24"/>
          <w:szCs w:val="24"/>
          <w:highlight w:val="white"/>
        </w:rPr>
        <w:t xml:space="preserve"> </w:t>
      </w:r>
      <w:r>
        <w:rPr>
          <w:bCs/>
          <w:i w:val="0"/>
          <w:iCs w:val="0"/>
          <w:sz w:val="24"/>
          <w:szCs w:val="24"/>
          <w:highlight w:val="white"/>
          <w:lang w:val="en-US" w:eastAsia="en-US"/>
        </w:rPr>
        <w:t xml:space="preserve">о</w:t>
      </w:r>
      <w:r>
        <w:rPr>
          <w:bCs/>
          <w:sz w:val="24"/>
          <w:szCs w:val="24"/>
          <w:lang w:val="en-US" w:eastAsia="en-US"/>
        </w:rPr>
        <w:t xml:space="preserve">публиковано</w:t>
      </w:r>
      <w:r>
        <w:rPr>
          <w:bCs/>
          <w:iCs/>
          <w:sz w:val="24"/>
          <w:szCs w:val="24"/>
        </w:rPr>
        <w:t xml:space="preserve"> </w:t>
      </w:r>
      <w:r>
        <w:rPr>
          <w:bCs/>
          <w:sz w:val="24"/>
          <w:szCs w:val="24"/>
          <w:lang w:eastAsia="en-US"/>
        </w:rPr>
        <w:t xml:space="preserve">на</w:t>
      </w:r>
      <w:r>
        <w:rPr>
          <w:bCs/>
          <w:iCs/>
          <w:sz w:val="24"/>
          <w:szCs w:val="24"/>
        </w:rPr>
        <w:t xml:space="preserve"> официальном сайте Единой информационной системы в сфере </w:t>
      </w:r>
      <w:r>
        <w:rPr>
          <w:bCs/>
          <w:sz w:val="24"/>
          <w:szCs w:val="24"/>
          <w:lang w:val="en-US" w:eastAsia="en-US"/>
        </w:rPr>
        <w:t xml:space="preserve">закупок</w:t>
      </w:r>
      <w:r>
        <w:rPr>
          <w:bCs/>
          <w:iCs/>
          <w:sz w:val="24"/>
          <w:szCs w:val="24"/>
        </w:rPr>
        <w:t xml:space="preserve"> (</w:t>
      </w:r>
      <w:r>
        <w:rPr>
          <w:bCs/>
          <w:iCs/>
          <w:sz w:val="24"/>
          <w:szCs w:val="24"/>
        </w:rPr>
        <w:fldChar w:fldCharType="begin"/>
      </w:r>
      <w:r>
        <w:rPr>
          <w:bCs/>
          <w:iCs/>
          <w:sz w:val="24"/>
          <w:szCs w:val="24"/>
        </w:rPr>
        <w:instrText xml:space="preserve"> HYPERLINK "http://www.zakupki.gov.ru" </w:instrText>
      </w:r>
      <w:r>
        <w:rPr>
          <w:bCs/>
          <w:iCs/>
          <w:sz w:val="24"/>
          <w:szCs w:val="24"/>
        </w:rPr>
        <w:fldChar w:fldCharType="separate"/>
      </w:r>
      <w:r>
        <w:rPr>
          <w:rStyle w:val="981"/>
          <w:bCs/>
          <w:iCs/>
          <w:sz w:val="24"/>
          <w:szCs w:val="24"/>
        </w:rPr>
        <w:t xml:space="preserve">www.zakupki.gov.ru</w:t>
      </w:r>
      <w:r>
        <w:rPr>
          <w:sz w:val="24"/>
          <w:szCs w:val="24"/>
        </w:rPr>
        <w:fldChar w:fldCharType="end"/>
      </w:r>
      <w:r>
        <w:rPr>
          <w:bCs/>
          <w:iCs/>
          <w:sz w:val="24"/>
          <w:szCs w:val="24"/>
        </w:rPr>
        <w:t xml:space="preserve">), с копией публикации </w:t>
      </w:r>
      <w:r>
        <w:rPr>
          <w:iCs/>
          <w:sz w:val="24"/>
          <w:szCs w:val="24"/>
        </w:rPr>
        <w:t xml:space="preserve">на ЕЭТП </w:t>
      </w:r>
      <w:r>
        <w:rPr>
          <w:iCs/>
          <w:sz w:val="24"/>
          <w:szCs w:val="24"/>
        </w:rPr>
        <w:t xml:space="preserve">«</w:t>
      </w:r>
      <w:r>
        <w:rPr>
          <w:iCs/>
          <w:sz w:val="24"/>
          <w:szCs w:val="24"/>
        </w:rPr>
        <w:t xml:space="preserve">Росэлторг</w:t>
      </w:r>
      <w:r>
        <w:rPr>
          <w:iCs/>
          <w:sz w:val="24"/>
          <w:szCs w:val="24"/>
        </w:rPr>
        <w:t xml:space="preserve">»</w:t>
      </w:r>
      <w:r>
        <w:rPr>
          <w:iCs/>
          <w:sz w:val="24"/>
          <w:szCs w:val="24"/>
        </w:rPr>
        <w:t xml:space="preserve">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"http://www.roseltorg.ru" </w:instrText>
      </w:r>
      <w:r>
        <w:rPr>
          <w:sz w:val="24"/>
          <w:szCs w:val="24"/>
        </w:rPr>
        <w:fldChar w:fldCharType="separate"/>
      </w:r>
      <w:r>
        <w:rPr>
          <w:rStyle w:val="981"/>
          <w:iCs/>
          <w:sz w:val="24"/>
          <w:szCs w:val="24"/>
        </w:rPr>
        <w:t xml:space="preserve">www.roseltorg.ru</w:t>
      </w:r>
      <w:r>
        <w:rPr>
          <w:sz w:val="24"/>
          <w:szCs w:val="24"/>
        </w:rPr>
        <w:fldChar w:fldCharType="end"/>
      </w:r>
      <w:r>
        <w:rPr>
          <w:bCs/>
          <w:iCs/>
          <w:sz w:val="24"/>
          <w:szCs w:val="24"/>
        </w:rPr>
        <w:t xml:space="preserve">).</w:t>
      </w:r>
      <w:r>
        <w:rPr>
          <w:bCs/>
          <w:iCs/>
          <w:sz w:val="24"/>
          <w:szCs w:val="24"/>
        </w:rPr>
      </w:r>
      <w:r>
        <w:rPr>
          <w:bCs/>
          <w:iCs/>
          <w:sz w:val="24"/>
          <w:szCs w:val="24"/>
        </w:rPr>
      </w:r>
    </w:p>
    <w:tbl>
      <w:tblPr>
        <w:tblW w:w="4882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4947"/>
        <w:gridCol w:w="2539"/>
        <w:gridCol w:w="255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617"/>
        </w:trPr>
        <w:tc>
          <w:tcPr>
            <w:tcW w:w="4947" w:type="dxa"/>
            <w:vAlign w:val="center"/>
            <w:textDirection w:val="lrTb"/>
            <w:noWrap w:val="false"/>
          </w:tcPr>
          <w:p>
            <w:pPr>
              <w:pStyle w:val="957"/>
              <w:jc w:val="center"/>
              <w:tabs>
                <w:tab w:val="left" w:pos="426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Предмет договора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539" w:type="dxa"/>
            <w:vAlign w:val="center"/>
            <w:textDirection w:val="lrTb"/>
            <w:noWrap w:val="false"/>
          </w:tcPr>
          <w:p>
            <w:pPr>
              <w:pStyle w:val="957"/>
              <w:jc w:val="center"/>
              <w:tabs>
                <w:tab w:val="left" w:pos="426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Цена закупаемых товаров, работ, услуг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551" w:type="dxa"/>
            <w:vAlign w:val="top"/>
            <w:textDirection w:val="lrTb"/>
            <w:noWrap w:val="false"/>
          </w:tcPr>
          <w:p>
            <w:pPr>
              <w:pStyle w:val="991"/>
              <w:jc w:val="center"/>
              <w:spacing w:after="0"/>
              <w:tabs>
                <w:tab w:val="left" w:pos="426" w:leader="none"/>
                <w:tab w:val="left" w:pos="900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Срок поставки/ выполнения работ/ оказания услуг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99"/>
        </w:trPr>
        <w:tc>
          <w:tcPr>
            <w:tcW w:w="4947" w:type="dxa"/>
            <w:vAlign w:val="top"/>
            <w:textDirection w:val="lrTb"/>
            <w:noWrap w:val="false"/>
          </w:tcPr>
          <w:p>
            <w:pPr>
              <w:jc w:val="both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57"/>
              <w:jc w:val="both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Право заключения договора на выполнение комплекса работ по оформлению земельно-правовой, градостроительной документации, разработке проектной и рабочей документации по объекту филиала АО «Россети Кубань» Краснодарские электрические сети: «Строительство 2БК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РП-10 кВ. Строительство ЛЭП-10 кВ до ВЛ-10 кВ О-7. Строительство ЛЭП-10 кВ до ВЛ-10 кВ О-9. Реконструкция ВЛ-10 кВ О-7, Респ. Адыгея, р-н. Тахтамукайский, аул. Козет, согласно договорам ТП: от 26.02.2025 №11101-25-00971300-1 Заявитель – Полонец С.А. от 26.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02.2025 №11101-25-00971288-1 Заявитель – Лапин О.Н. от 26.02.2025 №11101-25-00971282-1 Заявитель – Лавринова М.Н. от 26.02.2025 №11101-25-00971292-1 Заявитель – Лемешинская Е.В. от 26.02.2025 №11101-25-00971198-1 Заявитель – Хаймин Д.С.» (выпадающие доходы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r>
          </w:p>
        </w:tc>
        <w:tc>
          <w:tcPr>
            <w:tcW w:w="2539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</w:p>
          <w:p>
            <w:pPr>
              <w:pStyle w:val="957"/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4 627 556,70 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  <w:t xml:space="preserve">руб.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</w:p>
          <w:p>
            <w:pPr>
              <w:pStyle w:val="957"/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  <w:t xml:space="preserve">с НДС 20 %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</w:p>
        </w:tc>
        <w:tc>
          <w:tcPr>
            <w:tcW w:w="2551" w:type="dxa"/>
            <w:vAlign w:val="top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en-US"/>
              </w:rPr>
              <w:t xml:space="preserve">начало: с момента подписания договора, окончание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en-US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en-US"/>
              </w:rPr>
              <w:t xml:space="preserve">30.12.2025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57"/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white"/>
              </w:rPr>
            </w:r>
          </w:p>
        </w:tc>
      </w:tr>
    </w:tbl>
    <w:p>
      <w:pPr>
        <w:pStyle w:val="991"/>
        <w:numPr>
          <w:ilvl w:val="0"/>
          <w:numId w:val="34"/>
        </w:numPr>
        <w:ind w:left="0" w:firstLine="0"/>
        <w:jc w:val="both"/>
        <w:spacing w:after="0"/>
        <w:tabs>
          <w:tab w:val="left" w:pos="426" w:leader="none"/>
          <w:tab w:val="left" w:pos="709" w:leader="none"/>
          <w:tab w:val="left" w:pos="993" w:leader="none"/>
          <w:tab w:val="left" w:pos="1080" w:leader="none"/>
          <w:tab w:val="left" w:pos="1134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На момент окончания срока подачи заявок 05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.12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.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202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5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 г. 11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:00 (время московское) на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Е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ЭТП  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«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lang w:val="en-US" w:eastAsia="en-US"/>
        </w:rPr>
        <w:t xml:space="preserve">Росэлторг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»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был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 подан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1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 (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одна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) заяв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ка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en-US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en-US"/>
        </w:rPr>
        <w:t xml:space="preserve">: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991"/>
        <w:ind w:left="0" w:firstLine="0"/>
        <w:jc w:val="both"/>
        <w:spacing w:after="0"/>
        <w:tabs>
          <w:tab w:val="left" w:pos="426" w:leader="none"/>
          <w:tab w:val="left" w:pos="709" w:leader="none"/>
          <w:tab w:val="left" w:pos="993" w:leader="none"/>
          <w:tab w:val="left" w:pos="1080" w:leader="none"/>
          <w:tab w:val="left" w:pos="113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10066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47"/>
        <w:gridCol w:w="3280"/>
        <w:gridCol w:w="2409"/>
        <w:gridCol w:w="38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547" w:type="dxa"/>
            <w:vAlign w:val="top"/>
            <w:textDirection w:val="lrTb"/>
            <w:noWrap w:val="false"/>
          </w:tcPr>
          <w:p>
            <w:pPr>
              <w:pStyle w:val="957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  <w:tc>
          <w:tcPr>
            <w:tcW w:w="3280" w:type="dxa"/>
            <w:vAlign w:val="center"/>
            <w:textDirection w:val="lrTb"/>
            <w:noWrap w:val="false"/>
          </w:tcPr>
          <w:p>
            <w:pPr>
              <w:pStyle w:val="957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  <w:tc>
          <w:tcPr>
            <w:tcW w:w="2409" w:type="dxa"/>
            <w:vAlign w:val="center"/>
            <w:textDirection w:val="lrTb"/>
            <w:noWrap/>
          </w:tcPr>
          <w:p>
            <w:pPr>
              <w:pStyle w:val="957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  <w:tc>
          <w:tcPr>
            <w:tcW w:w="3830" w:type="dxa"/>
            <w:vAlign w:val="top"/>
            <w:textDirection w:val="lrTb"/>
            <w:noWrap w:val="false"/>
          </w:tcPr>
          <w:p>
            <w:pPr>
              <w:pStyle w:val="957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Цена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59"/>
        </w:trPr>
        <w:tc>
          <w:tcPr>
            <w:tcW w:w="547" w:type="dxa"/>
            <w:vAlign w:val="top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left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57"/>
              <w:jc w:val="left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280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195" w:lineRule="atLeast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ООО "ЭЛЕКТРОМОНТАЖНАЯ КОМПАНИЯ"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2409" w:type="dxa"/>
            <w:vAlign w:val="center"/>
            <w:textDirection w:val="lrTb"/>
            <w:noWrap/>
          </w:tcPr>
          <w:p>
            <w:pPr>
              <w:pStyle w:val="957"/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28.11.2025 в 20:28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830" w:type="dxa"/>
            <w:vAlign w:val="center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57"/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4 488 000,00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руб. 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НДС 20 %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57"/>
              <w:jc w:val="center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</w:tbl>
    <w:p>
      <w:pPr>
        <w:pStyle w:val="991"/>
        <w:ind w:left="0" w:firstLine="0"/>
        <w:jc w:val="both"/>
        <w:spacing w:after="0"/>
        <w:tabs>
          <w:tab w:val="left" w:pos="426" w:leader="none"/>
        </w:tabs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  <w:lang w:val="en-US"/>
        </w:rPr>
        <w:t xml:space="preserve">III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</w:rPr>
        <w:t xml:space="preserve">.</w:t>
        <w:tab/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РЕШЕНИЕ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</w:rPr>
        <w:t xml:space="preserve">: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Style w:val="957"/>
        <w:numPr>
          <w:ilvl w:val="0"/>
          <w:numId w:val="44"/>
        </w:numPr>
        <w:ind w:left="709" w:hanging="709"/>
        <w:tabs>
          <w:tab w:val="left" w:pos="142" w:leader="none"/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Перене</w:t>
      </w:r>
      <w:r>
        <w:rPr>
          <w:sz w:val="24"/>
          <w:szCs w:val="24"/>
        </w:rPr>
        <w:t xml:space="preserve">сти срок рассмотрения заявок и подведения итогов на 15.12</w:t>
      </w:r>
      <w:r>
        <w:rPr>
          <w:sz w:val="24"/>
          <w:szCs w:val="24"/>
        </w:rPr>
        <w:t xml:space="preserve">.2025</w:t>
      </w:r>
      <w:r>
        <w:rPr>
          <w:sz w:val="24"/>
          <w:szCs w:val="24"/>
        </w:rPr>
        <w:t xml:space="preserve"> года.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7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57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57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57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jc w:val="both"/>
        <w:spacing w:before="0" w:after="0" w:line="195" w:lineRule="atLeast"/>
        <w:rPr>
          <w:rFonts w:ascii="Times New Roman" w:hAnsi="Times New Roman" w:cs="Times New Roman"/>
          <w:sz w:val="24"/>
          <w:szCs w:val="24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2.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При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знать заявку участника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ООО "ЭЛЕКТРОМОНТАЖНАЯ КОМПАНИЯ"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соответствующей условиям запроса цен по результатам предварительного отбора.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57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57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6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голоса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57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57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jc w:val="both"/>
        <w:spacing w:before="0" w:after="0" w:line="195" w:lineRule="atLeast"/>
        <w:rPr>
          <w:rFonts w:ascii="Times New Roman" w:hAnsi="Times New Roman" w:cs="Times New Roman"/>
          <w:sz w:val="24"/>
          <w:szCs w:val="24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.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Руководствуясь п. 7.5.1 «а» Единого стандарта закупок ПАО «Россети», признать запрос цен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по результатам предварительного отбора несостоявшимся. В соответствии с п.7.5.3 Единого стандарта закупок ПАО «Россети» согласовать заключение договора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на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выполнение комплекса работ по оформлению земельно-правовой, градостроительной документации, разработке проектной и рабочей документации по объекту филиала АО «Россети Кубань» Краснодарские электрические сети: «Строительство 2БКРП-10 кВ. Строительство ЛЭП-1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0 кВ до ВЛ-10 кВ О-7. Строительство ЛЭП-10 кВ до ВЛ-10 кВ О-9. Реконструкция ВЛ-10 кВ О-7, Респ. Адыгея, р-н. Тахтамукайский, аул. Козет, согласно договорам ТП: от 26.02.2025 №11101-25-00971300-1 Заявитель – Полонец С.А. от 26.02.2025 №11101-25-00971288-1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Заявитель – Лапин О.Н. от 26.02.2025 №11101-25-00971282-1 Заявитель – Лавринова М.Н. от 26.02.2025 №11101-25-00971292-1 Заявитель – Лемешинская Е.В. от 26.02.2025 №11101-25-00971198-1 Заявитель – Хаймин Д.С.» (выпадающие доходы)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ООО "ЭЛЕКТРОМОНТАЖНАЯ КОМПАНИЯ"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, как с единственным участником на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условиях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заявки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57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  <w:highlight w:val="white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</w:p>
    <w:p>
      <w:pPr>
        <w:pStyle w:val="957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За – 6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голоса 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57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57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57"/>
        <w:jc w:val="both"/>
        <w:tabs>
          <w:tab w:val="left" w:pos="426" w:leader="none"/>
        </w:tabs>
        <w:rPr>
          <w:rFonts w:ascii="Times New Roman" w:hAnsi="Times New Roman" w:cs="Times New Roman"/>
          <w:b/>
          <w:bCs/>
          <w:i/>
          <w:color w:val="000000"/>
          <w:sz w:val="24"/>
          <w:szCs w:val="24"/>
          <w:highlight w:val="none"/>
        </w:rPr>
        <w:outlineLvl w:val="1"/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Решение по вопросу принято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</w:rPr>
        <w:t xml:space="preserve">.</w:t>
      </w:r>
      <w:r>
        <w:rPr>
          <w:rFonts w:ascii="Times New Roman" w:hAnsi="Times New Roman" w:cs="Times New Roman"/>
          <w:b/>
          <w:bCs/>
          <w:i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i/>
          <w:color w:val="000000"/>
          <w:sz w:val="24"/>
          <w:szCs w:val="24"/>
          <w:highlight w:val="none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  <w:outlineLvl w:val="1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</w:r>
    </w:p>
    <w:p>
      <w:pPr>
        <w:jc w:val="both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Договор по результатам закупки, заключить в течение срока, установленного нормами Единого стандарта закупок ПАО «Россети» (Положение о закупке). При необходимости одобрения Общего собрания акционеров/Совета директоров/Правления </w:t>
      </w:r>
      <w:r>
        <w:rPr>
          <w:sz w:val="24"/>
          <w:szCs w:val="24"/>
        </w:rPr>
        <w:t xml:space="preserve">ПАО</w:t>
      </w:r>
      <w:r>
        <w:rPr>
          <w:sz w:val="24"/>
          <w:szCs w:val="24"/>
        </w:rPr>
        <w:t xml:space="preserve"> «Россети </w:t>
      </w:r>
      <w:r>
        <w:rPr>
          <w:sz w:val="24"/>
          <w:szCs w:val="24"/>
        </w:rPr>
        <w:t xml:space="preserve">ЮГ</w:t>
      </w:r>
      <w:r>
        <w:rPr>
          <w:sz w:val="24"/>
          <w:szCs w:val="24"/>
        </w:rPr>
        <w:t xml:space="preserve">»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</w:t>
      </w:r>
      <w:r>
        <w:rPr>
          <w:sz w:val="24"/>
          <w:szCs w:val="24"/>
        </w:rPr>
        <w:t xml:space="preserve">Закупочной</w:t>
      </w:r>
      <w:r>
        <w:rPr>
          <w:sz w:val="24"/>
          <w:szCs w:val="24"/>
        </w:rPr>
        <w:t xml:space="preserve"> комиссии, опера</w:t>
      </w:r>
      <w:r>
        <w:rPr>
          <w:sz w:val="24"/>
          <w:szCs w:val="24"/>
        </w:rPr>
        <w:t xml:space="preserve">тора электронной площадки договор должен быть заключен после принятия соответствующего решения (одобрения, вынесения решения по жалобе, иску). Разместить договор в Единой информационной системе в сфере закупок в течение трех рабочих дней со дня заключения.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7"/>
        <w:tabs>
          <w:tab w:val="left" w:pos="142" w:leader="none"/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681"/>
        <w:gridCol w:w="3048"/>
      </w:tblGrid>
      <w:tr>
        <w:tblPrEx/>
        <w:trPr>
          <w:tblCellSpacing w:w="15" w:type="dxa"/>
          <w:trHeight w:val="427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Председатель ПДЗК: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</w:p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eastAsia="ru-RU"/>
              </w:rPr>
            </w:r>
            <w:r>
              <w:rPr>
                <w:bCs/>
                <w:color w:val="000000"/>
                <w:sz w:val="24"/>
                <w:szCs w:val="24"/>
              </w:rPr>
              <w:t xml:space="preserve">В.А. Коржаневский.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57"/>
              <w:tabs>
                <w:tab w:val="left" w:pos="426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Ответственный секретарь ПДЗК: (без права голоса):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957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А.Н. Гостева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57"/>
              <w:tabs>
                <w:tab w:val="left" w:pos="426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957"/>
        <w:tabs>
          <w:tab w:val="left" w:pos="426" w:leader="none"/>
        </w:tabs>
        <w:rPr>
          <w:sz w:val="18"/>
          <w:szCs w:val="18"/>
          <w:highlight w:val="none"/>
        </w:rPr>
      </w:pPr>
      <w:r>
        <w:rPr>
          <w:sz w:val="18"/>
          <w:szCs w:val="18"/>
        </w:rPr>
        <w:t xml:space="preserve">А.В. Жуковина</w:t>
      </w:r>
      <w:r>
        <w:rPr>
          <w:sz w:val="18"/>
          <w:szCs w:val="18"/>
        </w:rPr>
        <w:t xml:space="preserve">, 8 (861) 212-25-6</w:t>
      </w:r>
      <w:r>
        <w:rPr>
          <w:sz w:val="18"/>
          <w:szCs w:val="18"/>
        </w:rPr>
        <w:t xml:space="preserve">7</w:t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none"/>
        </w:rPr>
      </w:r>
    </w:p>
    <w:sectPr>
      <w:footerReference w:type="default" r:id="rId9"/>
      <w:footnotePr/>
      <w:endnotePr/>
      <w:type w:val="nextPage"/>
      <w:pgSz w:w="11906" w:h="16838" w:orient="portrait"/>
      <w:pgMar w:top="567" w:right="707" w:bottom="851" w:left="1134" w:header="709" w:footer="244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7"/>
      <w:jc w:val="center"/>
      <w:rPr>
        <w:b w:val="0"/>
        <w:bCs w:val="0"/>
        <w:i/>
        <w:iCs/>
        <w:sz w:val="18"/>
        <w:szCs w:val="18"/>
      </w:rPr>
    </w:pPr>
    <w:r>
      <w:rPr>
        <w:b w:val="0"/>
        <w:bCs w:val="0"/>
        <w:i/>
        <w:iCs/>
        <w:sz w:val="18"/>
        <w:szCs w:val="18"/>
      </w:rPr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П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РОТОКОЛ ЗАСЕДАНИЯ  ПОСТОЯННО ДЕЙСТВУЮЩЕЙ ЗАКУПОЧНОЙ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КОМИ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СС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ИИ</w:t>
    </w:r>
    <w:r>
      <w:rPr>
        <w:b w:val="0"/>
        <w:bCs w:val="0"/>
        <w:i/>
        <w:iCs/>
        <w:sz w:val="18"/>
        <w:szCs w:val="18"/>
      </w:rPr>
      <w:t xml:space="preserve"> </w:t>
    </w:r>
    <w:r>
      <w:rPr>
        <w:b w:val="0"/>
        <w:bCs w:val="0"/>
        <w:i/>
        <w:iCs/>
        <w:sz w:val="18"/>
        <w:szCs w:val="18"/>
      </w:rPr>
      <w:t xml:space="preserve">№ 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32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5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1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5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4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6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7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0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3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6</w:t>
    </w:r>
    <w:r>
      <w:rPr>
        <w:b w:val="0"/>
        <w:bCs w:val="0"/>
        <w:i/>
        <w:iCs/>
        <w:sz w:val="18"/>
        <w:szCs w:val="18"/>
      </w:rPr>
      <w:t xml:space="preserve">/1</w:t>
    </w:r>
    <w:r>
      <w:rPr>
        <w:b w:val="0"/>
        <w:bCs w:val="0"/>
        <w:i/>
        <w:iCs/>
        <w:sz w:val="18"/>
        <w:szCs w:val="18"/>
      </w:rPr>
    </w:r>
    <w:r>
      <w:rPr>
        <w:b w:val="0"/>
        <w:bCs w:val="0"/>
        <w:i/>
        <w:iCs/>
        <w:sz w:val="18"/>
        <w:szCs w:val="18"/>
      </w:rPr>
    </w:r>
  </w:p>
  <w:p>
    <w:pPr>
      <w:pStyle w:val="967"/>
      <w:jc w:val="right"/>
      <w:rPr>
        <w:i/>
      </w:rPr>
    </w:pPr>
    <w:r>
      <w:rPr>
        <w:i/>
        <w:sz w:val="18"/>
        <w:szCs w:val="18"/>
      </w:rPr>
      <w:t xml:space="preserve">Страница</w:t>
    </w:r>
    <w:r>
      <w:rPr>
        <w:i/>
      </w:rPr>
      <w:t xml:space="preserve"> </w:t>
    </w:r>
    <w:r>
      <w:rPr>
        <w:bCs/>
        <w:i/>
      </w:rPr>
      <w:fldChar w:fldCharType="begin"/>
    </w:r>
    <w:r>
      <w:rPr>
        <w:bCs/>
        <w:i/>
      </w:rPr>
      <w:instrText xml:space="preserve">PAGE</w:instrText>
    </w:r>
    <w:r>
      <w:rPr>
        <w:bCs/>
        <w:i/>
      </w:rPr>
      <w:fldChar w:fldCharType="separate"/>
    </w:r>
    <w:r>
      <w:rPr>
        <w:bCs/>
        <w:i/>
      </w:rPr>
      <w:t xml:space="preserve">2</w:t>
    </w:r>
    <w:r>
      <w:rPr>
        <w:bCs/>
        <w:i/>
      </w:rPr>
      <w:fldChar w:fldCharType="end"/>
    </w:r>
    <w:r>
      <w:rPr>
        <w:i/>
      </w:rPr>
      <w:t xml:space="preserve"> из </w:t>
    </w:r>
    <w:r>
      <w:rPr>
        <w:i/>
      </w:rPr>
      <w:t xml:space="preserve">2</w:t>
    </w:r>
    <w:r>
      <w:rPr>
        <w:i/>
      </w:rPr>
    </w:r>
    <w:r>
      <w:rPr>
        <w:i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475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78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5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5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5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5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5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5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5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5" w:hanging="360"/>
      </w:pPr>
      <w:rPr>
        <w:rFonts w:ascii="Wingdings" w:hAnsi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0" w:firstLine="0"/>
      </w:pPr>
      <w:rPr>
        <w:rFonts w:cs="Times New Roman"/>
        <w:b w:val="0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ascii="Symbol" w:hAnsi="Symbol"/>
        <w:sz w:val="20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00000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7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27"/>
  </w:num>
  <w:num w:numId="6">
    <w:abstractNumId w:val="31"/>
  </w:num>
  <w:num w:numId="7">
    <w:abstractNumId w:val="8"/>
  </w:num>
  <w:num w:numId="8">
    <w:abstractNumId w:val="19"/>
  </w:num>
  <w:num w:numId="9">
    <w:abstractNumId w:val="10"/>
  </w:num>
  <w:num w:numId="10">
    <w:abstractNumId w:val="29"/>
  </w:num>
  <w:num w:numId="11">
    <w:abstractNumId w:val="21"/>
  </w:num>
  <w:num w:numId="12">
    <w:abstractNumId w:val="13"/>
  </w:num>
  <w:num w:numId="13">
    <w:abstractNumId w:val="23"/>
  </w:num>
  <w:num w:numId="14">
    <w:abstractNumId w:val="4"/>
  </w:num>
  <w:num w:numId="15">
    <w:abstractNumId w:val="15"/>
  </w:num>
  <w:num w:numId="16">
    <w:abstractNumId w:val="7"/>
  </w:num>
  <w:num w:numId="17">
    <w:abstractNumId w:val="14"/>
  </w:num>
  <w:num w:numId="18">
    <w:abstractNumId w:val="29"/>
  </w:num>
  <w:num w:numId="19">
    <w:abstractNumId w:val="9"/>
  </w:num>
  <w:num w:numId="20">
    <w:abstractNumId w:val="12"/>
  </w:num>
  <w:num w:numId="21">
    <w:abstractNumId w:val="26"/>
  </w:num>
  <w:num w:numId="22">
    <w:abstractNumId w:val="28"/>
  </w:num>
  <w:num w:numId="23">
    <w:abstractNumId w:val="2"/>
  </w:num>
  <w:num w:numId="24">
    <w:abstractNumId w:val="18"/>
  </w:num>
  <w:num w:numId="25">
    <w:abstractNumId w:val="20"/>
  </w:num>
  <w:num w:numId="26">
    <w:abstractNumId w:val="25"/>
  </w:num>
  <w:num w:numId="27">
    <w:abstractNumId w:val="1"/>
  </w:num>
  <w:num w:numId="28">
    <w:abstractNumId w:val="6"/>
  </w:num>
  <w:num w:numId="29">
    <w:abstractNumId w:val="30"/>
  </w:num>
  <w:num w:numId="30">
    <w:abstractNumId w:val="24"/>
  </w:num>
  <w:num w:numId="31">
    <w:abstractNumId w:val="32"/>
  </w:num>
  <w:num w:numId="32">
    <w:abstractNumId w:val="3"/>
  </w:num>
  <w:num w:numId="33">
    <w:abstractNumId w:val="16"/>
  </w:num>
  <w:num w:numId="34">
    <w:abstractNumId w:val="11"/>
  </w:num>
  <w:num w:numId="3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7"/>
  </w:num>
  <w:num w:numId="37">
    <w:abstractNumId w:val="5"/>
  </w:num>
  <w:num w:numId="38">
    <w:abstractNumId w:val="33"/>
  </w:num>
  <w:num w:numId="39">
    <w:abstractNumId w:val="34"/>
  </w:num>
  <w:num w:numId="40">
    <w:abstractNumId w:val="35"/>
  </w:num>
  <w:num w:numId="41">
    <w:abstractNumId w:val="36"/>
  </w:num>
  <w:num w:numId="42">
    <w:abstractNumId w:val="37"/>
  </w:num>
  <w:num w:numId="4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79">
    <w:name w:val="Heading 1"/>
    <w:basedOn w:val="957"/>
    <w:next w:val="957"/>
    <w:link w:val="780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80">
    <w:name w:val="Heading 1 Char"/>
    <w:link w:val="779"/>
    <w:uiPriority w:val="9"/>
    <w:rPr>
      <w:rFonts w:ascii="Arial" w:hAnsi="Arial" w:eastAsia="Arial" w:cs="Arial"/>
      <w:sz w:val="40"/>
      <w:szCs w:val="40"/>
    </w:rPr>
  </w:style>
  <w:style w:type="paragraph" w:styleId="781">
    <w:name w:val="Heading 2"/>
    <w:basedOn w:val="957"/>
    <w:next w:val="957"/>
    <w:link w:val="782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82">
    <w:name w:val="Heading 2 Char"/>
    <w:link w:val="781"/>
    <w:uiPriority w:val="9"/>
    <w:rPr>
      <w:rFonts w:ascii="Arial" w:hAnsi="Arial" w:eastAsia="Arial" w:cs="Arial"/>
      <w:sz w:val="34"/>
    </w:rPr>
  </w:style>
  <w:style w:type="paragraph" w:styleId="783">
    <w:name w:val="Heading 3"/>
    <w:basedOn w:val="957"/>
    <w:next w:val="957"/>
    <w:link w:val="784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84">
    <w:name w:val="Heading 3 Char"/>
    <w:link w:val="783"/>
    <w:uiPriority w:val="9"/>
    <w:rPr>
      <w:rFonts w:ascii="Arial" w:hAnsi="Arial" w:eastAsia="Arial" w:cs="Arial"/>
      <w:sz w:val="30"/>
      <w:szCs w:val="30"/>
    </w:rPr>
  </w:style>
  <w:style w:type="paragraph" w:styleId="785">
    <w:name w:val="Heading 4"/>
    <w:basedOn w:val="957"/>
    <w:next w:val="957"/>
    <w:link w:val="78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86">
    <w:name w:val="Heading 4 Char"/>
    <w:link w:val="785"/>
    <w:uiPriority w:val="9"/>
    <w:rPr>
      <w:rFonts w:ascii="Arial" w:hAnsi="Arial" w:eastAsia="Arial" w:cs="Arial"/>
      <w:b/>
      <w:bCs/>
      <w:sz w:val="26"/>
      <w:szCs w:val="26"/>
    </w:rPr>
  </w:style>
  <w:style w:type="paragraph" w:styleId="787">
    <w:name w:val="Heading 5"/>
    <w:basedOn w:val="957"/>
    <w:next w:val="957"/>
    <w:link w:val="78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88">
    <w:name w:val="Heading 5 Char"/>
    <w:link w:val="787"/>
    <w:uiPriority w:val="9"/>
    <w:rPr>
      <w:rFonts w:ascii="Arial" w:hAnsi="Arial" w:eastAsia="Arial" w:cs="Arial"/>
      <w:b/>
      <w:bCs/>
      <w:sz w:val="24"/>
      <w:szCs w:val="24"/>
    </w:rPr>
  </w:style>
  <w:style w:type="paragraph" w:styleId="789">
    <w:name w:val="Heading 6"/>
    <w:basedOn w:val="957"/>
    <w:next w:val="957"/>
    <w:link w:val="79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90">
    <w:name w:val="Heading 6 Char"/>
    <w:link w:val="789"/>
    <w:uiPriority w:val="9"/>
    <w:rPr>
      <w:rFonts w:ascii="Arial" w:hAnsi="Arial" w:eastAsia="Arial" w:cs="Arial"/>
      <w:b/>
      <w:bCs/>
      <w:sz w:val="22"/>
      <w:szCs w:val="22"/>
    </w:rPr>
  </w:style>
  <w:style w:type="paragraph" w:styleId="791">
    <w:name w:val="Heading 7"/>
    <w:basedOn w:val="957"/>
    <w:next w:val="957"/>
    <w:link w:val="79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92">
    <w:name w:val="Heading 7 Char"/>
    <w:link w:val="79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93">
    <w:name w:val="Heading 8"/>
    <w:basedOn w:val="957"/>
    <w:next w:val="957"/>
    <w:link w:val="79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94">
    <w:name w:val="Heading 8 Char"/>
    <w:link w:val="793"/>
    <w:uiPriority w:val="9"/>
    <w:rPr>
      <w:rFonts w:ascii="Arial" w:hAnsi="Arial" w:eastAsia="Arial" w:cs="Arial"/>
      <w:i/>
      <w:iCs/>
      <w:sz w:val="22"/>
      <w:szCs w:val="22"/>
    </w:rPr>
  </w:style>
  <w:style w:type="paragraph" w:styleId="795">
    <w:name w:val="Heading 9"/>
    <w:basedOn w:val="957"/>
    <w:next w:val="957"/>
    <w:link w:val="79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6">
    <w:name w:val="Heading 9 Char"/>
    <w:link w:val="795"/>
    <w:uiPriority w:val="9"/>
    <w:rPr>
      <w:rFonts w:ascii="Arial" w:hAnsi="Arial" w:eastAsia="Arial" w:cs="Arial"/>
      <w:i/>
      <w:iCs/>
      <w:sz w:val="21"/>
      <w:szCs w:val="21"/>
    </w:rPr>
  </w:style>
  <w:style w:type="paragraph" w:styleId="797">
    <w:name w:val="List Paragraph"/>
    <w:basedOn w:val="957"/>
    <w:uiPriority w:val="34"/>
    <w:qFormat/>
    <w:pPr>
      <w:contextualSpacing/>
      <w:ind w:left="720"/>
    </w:pPr>
  </w:style>
  <w:style w:type="paragraph" w:styleId="798">
    <w:name w:val="No Spacing"/>
    <w:uiPriority w:val="1"/>
    <w:qFormat/>
    <w:pPr>
      <w:spacing w:before="0" w:after="0" w:line="240" w:lineRule="auto"/>
    </w:pPr>
  </w:style>
  <w:style w:type="paragraph" w:styleId="799">
    <w:name w:val="Title"/>
    <w:basedOn w:val="957"/>
    <w:next w:val="957"/>
    <w:link w:val="80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0">
    <w:name w:val="Title Char"/>
    <w:link w:val="799"/>
    <w:uiPriority w:val="10"/>
    <w:rPr>
      <w:sz w:val="48"/>
      <w:szCs w:val="48"/>
    </w:rPr>
  </w:style>
  <w:style w:type="paragraph" w:styleId="801">
    <w:name w:val="Subtitle"/>
    <w:basedOn w:val="957"/>
    <w:next w:val="957"/>
    <w:link w:val="802"/>
    <w:uiPriority w:val="11"/>
    <w:qFormat/>
    <w:pPr>
      <w:spacing w:before="200" w:after="200"/>
    </w:pPr>
    <w:rPr>
      <w:sz w:val="24"/>
      <w:szCs w:val="24"/>
    </w:rPr>
  </w:style>
  <w:style w:type="character" w:styleId="802">
    <w:name w:val="Subtitle Char"/>
    <w:link w:val="801"/>
    <w:uiPriority w:val="11"/>
    <w:rPr>
      <w:sz w:val="24"/>
      <w:szCs w:val="24"/>
    </w:rPr>
  </w:style>
  <w:style w:type="paragraph" w:styleId="803">
    <w:name w:val="Quote"/>
    <w:basedOn w:val="957"/>
    <w:next w:val="957"/>
    <w:link w:val="804"/>
    <w:uiPriority w:val="29"/>
    <w:qFormat/>
    <w:pPr>
      <w:ind w:left="720" w:right="720"/>
    </w:pPr>
    <w:rPr>
      <w:i/>
    </w:rPr>
  </w:style>
  <w:style w:type="character" w:styleId="804">
    <w:name w:val="Quote Char"/>
    <w:link w:val="803"/>
    <w:uiPriority w:val="29"/>
    <w:rPr>
      <w:i/>
    </w:rPr>
  </w:style>
  <w:style w:type="paragraph" w:styleId="805">
    <w:name w:val="Intense Quote"/>
    <w:basedOn w:val="957"/>
    <w:next w:val="957"/>
    <w:link w:val="80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06">
    <w:name w:val="Intense Quote Char"/>
    <w:link w:val="805"/>
    <w:uiPriority w:val="30"/>
    <w:rPr>
      <w:i/>
    </w:rPr>
  </w:style>
  <w:style w:type="paragraph" w:styleId="807">
    <w:name w:val="Header"/>
    <w:basedOn w:val="957"/>
    <w:link w:val="80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08">
    <w:name w:val="Header Char"/>
    <w:link w:val="807"/>
    <w:uiPriority w:val="99"/>
  </w:style>
  <w:style w:type="paragraph" w:styleId="809">
    <w:name w:val="Footer"/>
    <w:basedOn w:val="957"/>
    <w:link w:val="81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0">
    <w:name w:val="Footer Char"/>
    <w:link w:val="809"/>
    <w:uiPriority w:val="99"/>
  </w:style>
  <w:style w:type="paragraph" w:styleId="811">
    <w:name w:val="Caption"/>
    <w:basedOn w:val="957"/>
    <w:next w:val="957"/>
    <w:link w:val="81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2">
    <w:name w:val="Caption Char"/>
    <w:link w:val="811"/>
    <w:uiPriority w:val="35"/>
    <w:rPr>
      <w:b/>
      <w:bCs/>
      <w:color w:val="4f81bd" w:themeColor="accent1"/>
      <w:sz w:val="18"/>
      <w:szCs w:val="18"/>
    </w:rPr>
  </w:style>
  <w:style w:type="table" w:styleId="813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4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5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6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7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8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0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2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43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44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45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46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7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8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9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0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1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52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53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54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55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56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57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58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59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60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1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2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77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78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79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80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81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82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83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8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9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0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1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2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3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4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05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06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07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08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09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10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11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12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13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14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15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16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17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18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19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0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1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2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3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24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25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6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7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8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9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0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1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2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33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34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35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36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37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38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39">
    <w:name w:val="Hyperlink"/>
    <w:uiPriority w:val="99"/>
    <w:unhideWhenUsed/>
    <w:rPr>
      <w:color w:val="0000ff" w:themeColor="hyperlink"/>
      <w:u w:val="single"/>
    </w:rPr>
  </w:style>
  <w:style w:type="paragraph" w:styleId="940">
    <w:name w:val="footnote text"/>
    <w:basedOn w:val="957"/>
    <w:link w:val="941"/>
    <w:uiPriority w:val="99"/>
    <w:semiHidden/>
    <w:unhideWhenUsed/>
    <w:pPr>
      <w:spacing w:after="40" w:line="240" w:lineRule="auto"/>
    </w:pPr>
    <w:rPr>
      <w:sz w:val="18"/>
    </w:rPr>
  </w:style>
  <w:style w:type="character" w:styleId="941">
    <w:name w:val="Footnote Text Char"/>
    <w:link w:val="940"/>
    <w:uiPriority w:val="99"/>
    <w:rPr>
      <w:sz w:val="18"/>
    </w:rPr>
  </w:style>
  <w:style w:type="character" w:styleId="942">
    <w:name w:val="footnote reference"/>
    <w:uiPriority w:val="99"/>
    <w:unhideWhenUsed/>
    <w:rPr>
      <w:vertAlign w:val="superscript"/>
    </w:rPr>
  </w:style>
  <w:style w:type="paragraph" w:styleId="943">
    <w:name w:val="endnote text"/>
    <w:basedOn w:val="957"/>
    <w:link w:val="944"/>
    <w:uiPriority w:val="99"/>
    <w:semiHidden/>
    <w:unhideWhenUsed/>
    <w:pPr>
      <w:spacing w:after="0" w:line="240" w:lineRule="auto"/>
    </w:pPr>
    <w:rPr>
      <w:sz w:val="20"/>
    </w:rPr>
  </w:style>
  <w:style w:type="character" w:styleId="944">
    <w:name w:val="Endnote Text Char"/>
    <w:link w:val="943"/>
    <w:uiPriority w:val="99"/>
    <w:rPr>
      <w:sz w:val="20"/>
    </w:rPr>
  </w:style>
  <w:style w:type="character" w:styleId="945">
    <w:name w:val="endnote reference"/>
    <w:uiPriority w:val="99"/>
    <w:semiHidden/>
    <w:unhideWhenUsed/>
    <w:rPr>
      <w:vertAlign w:val="superscript"/>
    </w:rPr>
  </w:style>
  <w:style w:type="paragraph" w:styleId="946">
    <w:name w:val="toc 1"/>
    <w:basedOn w:val="957"/>
    <w:next w:val="957"/>
    <w:uiPriority w:val="39"/>
    <w:unhideWhenUsed/>
    <w:pPr>
      <w:ind w:left="0" w:right="0" w:firstLine="0"/>
      <w:spacing w:after="57"/>
    </w:pPr>
  </w:style>
  <w:style w:type="paragraph" w:styleId="947">
    <w:name w:val="toc 2"/>
    <w:basedOn w:val="957"/>
    <w:next w:val="957"/>
    <w:uiPriority w:val="39"/>
    <w:unhideWhenUsed/>
    <w:pPr>
      <w:ind w:left="283" w:right="0" w:firstLine="0"/>
      <w:spacing w:after="57"/>
    </w:pPr>
  </w:style>
  <w:style w:type="paragraph" w:styleId="948">
    <w:name w:val="toc 3"/>
    <w:basedOn w:val="957"/>
    <w:next w:val="957"/>
    <w:uiPriority w:val="39"/>
    <w:unhideWhenUsed/>
    <w:pPr>
      <w:ind w:left="567" w:right="0" w:firstLine="0"/>
      <w:spacing w:after="57"/>
    </w:pPr>
  </w:style>
  <w:style w:type="paragraph" w:styleId="949">
    <w:name w:val="toc 4"/>
    <w:basedOn w:val="957"/>
    <w:next w:val="957"/>
    <w:uiPriority w:val="39"/>
    <w:unhideWhenUsed/>
    <w:pPr>
      <w:ind w:left="850" w:right="0" w:firstLine="0"/>
      <w:spacing w:after="57"/>
    </w:pPr>
  </w:style>
  <w:style w:type="paragraph" w:styleId="950">
    <w:name w:val="toc 5"/>
    <w:basedOn w:val="957"/>
    <w:next w:val="957"/>
    <w:uiPriority w:val="39"/>
    <w:unhideWhenUsed/>
    <w:pPr>
      <w:ind w:left="1134" w:right="0" w:firstLine="0"/>
      <w:spacing w:after="57"/>
    </w:pPr>
  </w:style>
  <w:style w:type="paragraph" w:styleId="951">
    <w:name w:val="toc 6"/>
    <w:basedOn w:val="957"/>
    <w:next w:val="957"/>
    <w:uiPriority w:val="39"/>
    <w:unhideWhenUsed/>
    <w:pPr>
      <w:ind w:left="1417" w:right="0" w:firstLine="0"/>
      <w:spacing w:after="57"/>
    </w:pPr>
  </w:style>
  <w:style w:type="paragraph" w:styleId="952">
    <w:name w:val="toc 7"/>
    <w:basedOn w:val="957"/>
    <w:next w:val="957"/>
    <w:uiPriority w:val="39"/>
    <w:unhideWhenUsed/>
    <w:pPr>
      <w:ind w:left="1701" w:right="0" w:firstLine="0"/>
      <w:spacing w:after="57"/>
    </w:pPr>
  </w:style>
  <w:style w:type="paragraph" w:styleId="953">
    <w:name w:val="toc 8"/>
    <w:basedOn w:val="957"/>
    <w:next w:val="957"/>
    <w:uiPriority w:val="39"/>
    <w:unhideWhenUsed/>
    <w:pPr>
      <w:ind w:left="1984" w:right="0" w:firstLine="0"/>
      <w:spacing w:after="57"/>
    </w:pPr>
  </w:style>
  <w:style w:type="paragraph" w:styleId="954">
    <w:name w:val="toc 9"/>
    <w:basedOn w:val="957"/>
    <w:next w:val="957"/>
    <w:uiPriority w:val="39"/>
    <w:unhideWhenUsed/>
    <w:pPr>
      <w:ind w:left="2268" w:right="0" w:firstLine="0"/>
      <w:spacing w:after="57"/>
    </w:pPr>
  </w:style>
  <w:style w:type="paragraph" w:styleId="955">
    <w:name w:val="TOC Heading"/>
    <w:uiPriority w:val="39"/>
    <w:unhideWhenUsed/>
  </w:style>
  <w:style w:type="paragraph" w:styleId="956">
    <w:name w:val="table of figures"/>
    <w:basedOn w:val="957"/>
    <w:next w:val="957"/>
    <w:uiPriority w:val="99"/>
    <w:unhideWhenUsed/>
    <w:pPr>
      <w:spacing w:after="0" w:afterAutospacing="0"/>
    </w:pPr>
  </w:style>
  <w:style w:type="paragraph" w:styleId="957" w:default="1">
    <w:name w:val="Normal"/>
    <w:next w:val="957"/>
    <w:link w:val="957"/>
    <w:qFormat/>
    <w:rPr>
      <w:lang w:val="ru-RU" w:eastAsia="ru-RU" w:bidi="ar-SA"/>
    </w:rPr>
  </w:style>
  <w:style w:type="paragraph" w:styleId="958">
    <w:name w:val="Заголовок 2"/>
    <w:basedOn w:val="957"/>
    <w:next w:val="958"/>
    <w:link w:val="99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959">
    <w:name w:val="Основной шрифт абзаца"/>
    <w:next w:val="959"/>
    <w:link w:val="957"/>
    <w:uiPriority w:val="1"/>
    <w:unhideWhenUsed/>
  </w:style>
  <w:style w:type="table" w:styleId="960">
    <w:name w:val="Обычная таблица"/>
    <w:next w:val="960"/>
    <w:link w:val="957"/>
    <w:uiPriority w:val="99"/>
    <w:semiHidden/>
    <w:unhideWhenUsed/>
    <w:tblPr/>
  </w:style>
  <w:style w:type="numbering" w:styleId="961">
    <w:name w:val="Нет списка"/>
    <w:next w:val="961"/>
    <w:link w:val="957"/>
    <w:uiPriority w:val="99"/>
    <w:semiHidden/>
    <w:unhideWhenUsed/>
  </w:style>
  <w:style w:type="paragraph" w:styleId="962">
    <w:name w:val="Название"/>
    <w:basedOn w:val="957"/>
    <w:next w:val="962"/>
    <w:link w:val="963"/>
    <w:uiPriority w:val="99"/>
    <w:qFormat/>
    <w:pPr>
      <w:jc w:val="center"/>
    </w:pPr>
    <w:rPr>
      <w:rFonts w:ascii="Cambria" w:hAnsi="Cambria"/>
      <w:b/>
      <w:bCs/>
      <w:sz w:val="32"/>
      <w:szCs w:val="32"/>
    </w:rPr>
  </w:style>
  <w:style w:type="character" w:styleId="963">
    <w:name w:val="Название Знак"/>
    <w:next w:val="963"/>
    <w:link w:val="962"/>
    <w:uiPriority w:val="99"/>
    <w:rPr>
      <w:rFonts w:ascii="Cambria" w:hAnsi="Cambria" w:cs="Times New Roman"/>
      <w:b/>
      <w:bCs/>
      <w:sz w:val="32"/>
      <w:szCs w:val="32"/>
    </w:rPr>
  </w:style>
  <w:style w:type="paragraph" w:styleId="964">
    <w:name w:val="Основной текст с отступом"/>
    <w:basedOn w:val="957"/>
    <w:next w:val="964"/>
    <w:link w:val="965"/>
    <w:uiPriority w:val="99"/>
    <w:pPr>
      <w:ind w:firstLine="567"/>
      <w:jc w:val="both"/>
    </w:pPr>
    <w:rPr>
      <w:sz w:val="24"/>
    </w:rPr>
  </w:style>
  <w:style w:type="character" w:styleId="965">
    <w:name w:val="Основной текст с отступом Знак"/>
    <w:next w:val="965"/>
    <w:link w:val="964"/>
    <w:uiPriority w:val="99"/>
    <w:rPr>
      <w:rFonts w:cs="Times New Roman"/>
      <w:sz w:val="24"/>
    </w:rPr>
  </w:style>
  <w:style w:type="paragraph" w:styleId="966">
    <w:name w:val="Обычный1"/>
    <w:next w:val="966"/>
    <w:link w:val="957"/>
    <w:uiPriority w:val="99"/>
    <w:pPr>
      <w:ind w:firstLine="567"/>
      <w:jc w:val="both"/>
      <w:spacing w:before="120" w:after="120" w:line="360" w:lineRule="atLeast"/>
      <w:widowControl w:val="off"/>
    </w:pPr>
    <w:rPr>
      <w:sz w:val="24"/>
      <w:lang w:val="ru-RU" w:eastAsia="ru-RU" w:bidi="ar-SA"/>
    </w:rPr>
  </w:style>
  <w:style w:type="paragraph" w:styleId="967">
    <w:name w:val="Нижний колонтитул"/>
    <w:basedOn w:val="957"/>
    <w:next w:val="967"/>
    <w:link w:val="968"/>
    <w:uiPriority w:val="99"/>
    <w:pPr>
      <w:tabs>
        <w:tab w:val="center" w:pos="4677" w:leader="none"/>
        <w:tab w:val="right" w:pos="9355" w:leader="none"/>
      </w:tabs>
    </w:pPr>
  </w:style>
  <w:style w:type="character" w:styleId="968">
    <w:name w:val="Нижний колонтитул Знак"/>
    <w:next w:val="968"/>
    <w:link w:val="967"/>
    <w:uiPriority w:val="99"/>
    <w:rPr>
      <w:rFonts w:cs="Times New Roman"/>
      <w:sz w:val="20"/>
      <w:szCs w:val="20"/>
    </w:rPr>
  </w:style>
  <w:style w:type="paragraph" w:styleId="969">
    <w:name w:val="Верхний колонтитул"/>
    <w:basedOn w:val="957"/>
    <w:next w:val="969"/>
    <w:link w:val="970"/>
    <w:uiPriority w:val="99"/>
    <w:pPr>
      <w:tabs>
        <w:tab w:val="center" w:pos="4677" w:leader="none"/>
        <w:tab w:val="right" w:pos="9355" w:leader="none"/>
      </w:tabs>
    </w:pPr>
  </w:style>
  <w:style w:type="character" w:styleId="970">
    <w:name w:val="Верхний колонтитул Знак"/>
    <w:next w:val="970"/>
    <w:link w:val="969"/>
    <w:uiPriority w:val="99"/>
    <w:rPr>
      <w:rFonts w:cs="Times New Roman"/>
    </w:rPr>
  </w:style>
  <w:style w:type="paragraph" w:styleId="971">
    <w:name w:val="Знак Знак Знак Знак Знак Знак Знак Знак Знак Знак Знак Знак"/>
    <w:basedOn w:val="957"/>
    <w:next w:val="971"/>
    <w:link w:val="957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72">
    <w:name w:val="Знак"/>
    <w:basedOn w:val="957"/>
    <w:next w:val="972"/>
    <w:link w:val="957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73">
    <w:name w:val="Пункт Знак"/>
    <w:next w:val="973"/>
    <w:link w:val="974"/>
    <w:uiPriority w:val="99"/>
    <w:rPr>
      <w:rFonts w:cs="Times New Roman"/>
      <w:sz w:val="28"/>
      <w:lang w:val="ru-RU" w:eastAsia="ru-RU" w:bidi="ar-SA"/>
    </w:rPr>
  </w:style>
  <w:style w:type="paragraph" w:styleId="974">
    <w:name w:val="Пункт"/>
    <w:basedOn w:val="957"/>
    <w:next w:val="974"/>
    <w:link w:val="973"/>
    <w:uiPriority w:val="99"/>
    <w:pPr>
      <w:ind w:left="1134" w:hanging="1134"/>
      <w:jc w:val="both"/>
      <w:spacing w:line="360" w:lineRule="auto"/>
      <w:widowControl w:val="off"/>
      <w:tabs>
        <w:tab w:val="num" w:pos="1134" w:leader="none"/>
      </w:tabs>
    </w:pPr>
    <w:rPr>
      <w:sz w:val="28"/>
    </w:rPr>
  </w:style>
  <w:style w:type="paragraph" w:styleId="975">
    <w:name w:val="Основной текст с отступом 2"/>
    <w:basedOn w:val="957"/>
    <w:next w:val="975"/>
    <w:link w:val="976"/>
    <w:uiPriority w:val="99"/>
    <w:pPr>
      <w:ind w:left="283"/>
      <w:spacing w:after="120" w:line="480" w:lineRule="auto"/>
    </w:pPr>
  </w:style>
  <w:style w:type="character" w:styleId="976">
    <w:name w:val="Основной текст с отступом 2 Знак"/>
    <w:next w:val="976"/>
    <w:link w:val="975"/>
    <w:uiPriority w:val="99"/>
    <w:semiHidden/>
    <w:rPr>
      <w:rFonts w:cs="Times New Roman"/>
      <w:sz w:val="20"/>
      <w:szCs w:val="20"/>
    </w:rPr>
  </w:style>
  <w:style w:type="paragraph" w:styleId="977">
    <w:name w:val="Нумерованный список"/>
    <w:basedOn w:val="957"/>
    <w:next w:val="977"/>
    <w:link w:val="957"/>
    <w:uiPriority w:val="99"/>
    <w:pPr>
      <w:jc w:val="both"/>
      <w:spacing w:before="60" w:line="360" w:lineRule="auto"/>
    </w:pPr>
    <w:rPr>
      <w:sz w:val="28"/>
      <w:szCs w:val="24"/>
    </w:rPr>
  </w:style>
  <w:style w:type="paragraph" w:styleId="978">
    <w:name w:val="Обычный2"/>
    <w:next w:val="978"/>
    <w:link w:val="957"/>
    <w:uiPriority w:val="99"/>
    <w:pPr>
      <w:jc w:val="both"/>
      <w:spacing w:before="100" w:after="100" w:line="360" w:lineRule="atLeast"/>
      <w:widowControl w:val="off"/>
    </w:pPr>
    <w:rPr>
      <w:sz w:val="24"/>
      <w:lang w:val="ru-RU" w:eastAsia="ru-RU" w:bidi="ar-SA"/>
    </w:rPr>
  </w:style>
  <w:style w:type="paragraph" w:styleId="979">
    <w:name w:val="Основной текст"/>
    <w:basedOn w:val="957"/>
    <w:next w:val="979"/>
    <w:link w:val="980"/>
    <w:uiPriority w:val="99"/>
    <w:pPr>
      <w:spacing w:after="120"/>
    </w:pPr>
  </w:style>
  <w:style w:type="character" w:styleId="980">
    <w:name w:val="Основной текст Знак"/>
    <w:next w:val="980"/>
    <w:link w:val="979"/>
    <w:uiPriority w:val="99"/>
    <w:semiHidden/>
    <w:rPr>
      <w:rFonts w:cs="Times New Roman"/>
      <w:sz w:val="20"/>
      <w:szCs w:val="20"/>
    </w:rPr>
  </w:style>
  <w:style w:type="character" w:styleId="981">
    <w:name w:val="Гиперссылка"/>
    <w:next w:val="981"/>
    <w:link w:val="957"/>
    <w:uiPriority w:val="99"/>
    <w:rPr>
      <w:rFonts w:cs="Times New Roman"/>
      <w:color w:val="0000ff"/>
      <w:u w:val="single"/>
    </w:rPr>
  </w:style>
  <w:style w:type="paragraph" w:styleId="982">
    <w:name w:val="Знак1"/>
    <w:basedOn w:val="957"/>
    <w:next w:val="982"/>
    <w:link w:val="957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83">
    <w:name w:val="apple-style-span"/>
    <w:next w:val="983"/>
    <w:link w:val="957"/>
    <w:uiPriority w:val="99"/>
    <w:rPr>
      <w:rFonts w:cs="Times New Roman"/>
    </w:rPr>
  </w:style>
  <w:style w:type="paragraph" w:styleId="984">
    <w:name w:val="Текст выноски"/>
    <w:basedOn w:val="957"/>
    <w:next w:val="984"/>
    <w:link w:val="985"/>
    <w:uiPriority w:val="99"/>
    <w:rPr>
      <w:rFonts w:ascii="Tahoma" w:hAnsi="Tahoma"/>
      <w:sz w:val="16"/>
      <w:szCs w:val="16"/>
    </w:rPr>
  </w:style>
  <w:style w:type="character" w:styleId="985">
    <w:name w:val="Текст выноски Знак"/>
    <w:next w:val="985"/>
    <w:link w:val="984"/>
    <w:uiPriority w:val="99"/>
    <w:rPr>
      <w:rFonts w:ascii="Tahoma" w:hAnsi="Tahoma" w:cs="Tahoma"/>
      <w:sz w:val="16"/>
      <w:szCs w:val="16"/>
    </w:rPr>
  </w:style>
  <w:style w:type="table" w:styleId="986">
    <w:name w:val="Сетка таблицы"/>
    <w:basedOn w:val="960"/>
    <w:next w:val="986"/>
    <w:link w:val="957"/>
    <w:uiPriority w:val="99"/>
    <w:tblPr/>
  </w:style>
  <w:style w:type="paragraph" w:styleId="987">
    <w:name w:val="Абзац списка,Нумерованый список,List Paragraph1,Абзац маркированнный,Table-Normal,RSHB_Table-Normal,ПАРАГРАФ,Маркер,List Paragraph,название,Bullet Number,Bullet List,FooterText,numbered,lp1,Абзац списка2,SL_Абзац списка,Абзац списка4,f_Абзац 1,Текстовая"/>
    <w:basedOn w:val="957"/>
    <w:next w:val="987"/>
    <w:link w:val="994"/>
    <w:uiPriority w:val="34"/>
    <w:qFormat/>
    <w:pPr>
      <w:ind w:left="708"/>
    </w:pPr>
    <w:rPr>
      <w:sz w:val="24"/>
      <w:szCs w:val="24"/>
    </w:rPr>
  </w:style>
  <w:style w:type="paragraph" w:styleId="988">
    <w:name w:val="Таблица шапка"/>
    <w:basedOn w:val="957"/>
    <w:next w:val="988"/>
    <w:link w:val="957"/>
    <w:pPr>
      <w:ind w:left="57" w:right="57"/>
      <w:keepNext/>
      <w:spacing w:before="40" w:after="40"/>
    </w:pPr>
    <w:rPr>
      <w:sz w:val="22"/>
    </w:rPr>
  </w:style>
  <w:style w:type="paragraph" w:styleId="989">
    <w:name w:val="Таблица текст"/>
    <w:basedOn w:val="957"/>
    <w:next w:val="989"/>
    <w:link w:val="957"/>
    <w:pPr>
      <w:ind w:left="57" w:right="57"/>
      <w:spacing w:before="40" w:after="40"/>
    </w:pPr>
    <w:rPr>
      <w:sz w:val="24"/>
    </w:rPr>
  </w:style>
  <w:style w:type="character" w:styleId="990">
    <w:name w:val="Заголовок 2 Знак"/>
    <w:next w:val="990"/>
    <w:link w:val="958"/>
    <w:uiPriority w:val="9"/>
    <w:rPr>
      <w:b/>
      <w:bCs/>
      <w:sz w:val="36"/>
      <w:szCs w:val="36"/>
    </w:rPr>
  </w:style>
  <w:style w:type="paragraph" w:styleId="991">
    <w:name w:val="Основной текст 3"/>
    <w:basedOn w:val="957"/>
    <w:next w:val="991"/>
    <w:link w:val="992"/>
    <w:uiPriority w:val="99"/>
    <w:unhideWhenUsed/>
    <w:pPr>
      <w:spacing w:after="120"/>
    </w:pPr>
    <w:rPr>
      <w:sz w:val="16"/>
      <w:szCs w:val="16"/>
    </w:rPr>
  </w:style>
  <w:style w:type="character" w:styleId="992">
    <w:name w:val="Основной текст 3 Знак"/>
    <w:next w:val="992"/>
    <w:link w:val="991"/>
    <w:uiPriority w:val="99"/>
    <w:rPr>
      <w:sz w:val="16"/>
      <w:szCs w:val="16"/>
    </w:rPr>
  </w:style>
  <w:style w:type="character" w:styleId="993">
    <w:name w:val="apple-converted-space"/>
    <w:next w:val="993"/>
    <w:link w:val="957"/>
  </w:style>
  <w:style w:type="character" w:styleId="994">
    <w:name w:val="Абзац списка Знак,Нумерованый список Знак,List Paragraph1 Знак,Абзац маркированнный Знак,Table-Normal Знак,RSHB_Table-Normal Знак,ПАРАГРАФ Знак,Маркер Знак,List Paragraph Знак,название Знак,Bullet Number Знак,Bullet List Знак,FooterText Знак,lp1 Знак"/>
    <w:next w:val="994"/>
    <w:link w:val="987"/>
    <w:uiPriority w:val="34"/>
    <w:qFormat/>
    <w:rPr>
      <w:sz w:val="24"/>
      <w:szCs w:val="24"/>
    </w:rPr>
  </w:style>
  <w:style w:type="paragraph" w:styleId="995">
    <w:name w:val="Текст сноски"/>
    <w:basedOn w:val="957"/>
    <w:next w:val="995"/>
    <w:link w:val="996"/>
    <w:uiPriority w:val="99"/>
    <w:unhideWhenUsed/>
    <w:rPr>
      <w:rFonts w:ascii="Calibri" w:hAnsi="Calibri" w:eastAsia="Calibri"/>
      <w:lang w:val="en-US" w:eastAsia="en-US"/>
    </w:rPr>
  </w:style>
  <w:style w:type="character" w:styleId="996">
    <w:name w:val="Текст сноски Знак"/>
    <w:next w:val="996"/>
    <w:link w:val="995"/>
    <w:uiPriority w:val="99"/>
    <w:rPr>
      <w:rFonts w:ascii="Calibri" w:hAnsi="Calibri" w:eastAsia="Calibri"/>
      <w:lang w:val="en-US" w:eastAsia="en-US"/>
    </w:rPr>
  </w:style>
  <w:style w:type="character" w:styleId="997">
    <w:name w:val="Знак сноски"/>
    <w:next w:val="997"/>
    <w:link w:val="957"/>
    <w:uiPriority w:val="99"/>
    <w:unhideWhenUsed/>
    <w:rPr>
      <w:vertAlign w:val="superscript"/>
    </w:rPr>
  </w:style>
  <w:style w:type="character" w:styleId="998">
    <w:name w:val="private-procedure"/>
    <w:next w:val="998"/>
    <w:link w:val="957"/>
  </w:style>
  <w:style w:type="character" w:styleId="999" w:default="1">
    <w:name w:val="Default Paragraph Font"/>
    <w:uiPriority w:val="1"/>
    <w:semiHidden/>
    <w:unhideWhenUsed/>
  </w:style>
  <w:style w:type="numbering" w:styleId="1000" w:default="1">
    <w:name w:val="No List"/>
    <w:uiPriority w:val="99"/>
    <w:semiHidden/>
    <w:unhideWhenUsed/>
  </w:style>
  <w:style w:type="table" w:styleId="1001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123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kaigorodceva</dc:creator>
  <cp:lastModifiedBy>ZhukovinaAV</cp:lastModifiedBy>
  <cp:revision>4106</cp:revision>
  <dcterms:created xsi:type="dcterms:W3CDTF">2019-08-15T06:51:00Z</dcterms:created>
  <dcterms:modified xsi:type="dcterms:W3CDTF">2025-12-12T12:58:08Z</dcterms:modified>
  <cp:version>1048576</cp:version>
</cp:coreProperties>
</file>