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37"/>
        <w:jc w:val="center"/>
        <w:spacing w:before="360"/>
        <w:tabs>
          <w:tab w:val="left" w:pos="4145" w:leader="none"/>
        </w:tabs>
        <w:rPr>
          <w:b/>
        </w:rPr>
      </w:pPr>
      <w:r>
        <w:rPr>
          <w:b/>
        </w:rPr>
        <w:t xml:space="preserve">ПРОТОКОЛ</w:t>
      </w:r>
      <w:r>
        <w:rPr>
          <w:b/>
        </w:rPr>
      </w:r>
      <w:r>
        <w:rPr>
          <w:b/>
        </w:rPr>
      </w:r>
    </w:p>
    <w:p>
      <w:pPr>
        <w:pStyle w:val="937"/>
        <w:jc w:val="center"/>
      </w:pPr>
      <w:r>
        <w:t xml:space="preserve">заседания </w:t>
      </w:r>
      <w:r>
        <w:t xml:space="preserve">Закупоч</w:t>
      </w:r>
      <w:r>
        <w:t xml:space="preserve">ной комиссии </w:t>
      </w:r>
      <w:r>
        <w:t xml:space="preserve">о признании</w:t>
      </w:r>
      <w:r/>
    </w:p>
    <w:p>
      <w:pPr>
        <w:pStyle w:val="937"/>
        <w:jc w:val="center"/>
      </w:pPr>
      <w:r>
        <w:t xml:space="preserve">закупки</w:t>
      </w:r>
      <w:r>
        <w:t xml:space="preserve"> </w:t>
      </w:r>
      <w:r>
        <w:t xml:space="preserve">несостоявшейся</w:t>
      </w:r>
      <w:r/>
    </w:p>
    <w:p>
      <w:pPr>
        <w:pStyle w:val="937"/>
        <w:jc w:val="center"/>
        <w:spacing w:before="120" w:after="240"/>
        <w:rPr>
          <w:b/>
        </w:rPr>
      </w:pPr>
      <w:r>
        <w:rPr>
          <w:b/>
        </w:rPr>
        <w:t xml:space="preserve">г. </w:t>
      </w:r>
      <w:r>
        <w:rPr>
          <w:b/>
        </w:rPr>
        <w:t xml:space="preserve">Москва</w:t>
      </w:r>
      <w:r>
        <w:rPr>
          <w:b/>
        </w:rPr>
      </w:r>
      <w:r>
        <w:rPr>
          <w:b/>
        </w:rPr>
      </w:r>
    </w:p>
    <w:tbl>
      <w:tblPr>
        <w:tblW w:w="10173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4361"/>
        <w:gridCol w:w="581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7"/>
              <w:spacing w:before="120"/>
              <w:rPr>
                <w:highlight w:val="none"/>
              </w:rPr>
            </w:pPr>
            <w:r>
              <w:rPr>
                <w:highlight w:val="none"/>
              </w:rPr>
              <w:t xml:space="preserve">Номер Протокола: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37"/>
              <w:spacing w:before="120"/>
              <w:rPr>
                <w:highlight w:val="none"/>
              </w:rPr>
            </w:pPr>
            <w:r>
              <w:rPr>
                <w:highlight w:val="none"/>
              </w:rPr>
              <w:t xml:space="preserve">№ </w:t>
            </w:r>
            <w:r>
              <w:rPr>
                <w:highlight w:val="none"/>
              </w:rPr>
              <w:t xml:space="preserve">220705</w:t>
            </w:r>
            <w:r>
              <w:rPr>
                <w:highlight w:val="none"/>
              </w:rPr>
              <w:t xml:space="preserve">/ОК-ПН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7"/>
              <w:spacing w:before="120"/>
            </w:pPr>
            <w:r>
              <w:t xml:space="preserve">Способ закупки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37"/>
              <w:spacing w:before="120"/>
              <w:rPr>
                <w:highlight w:val="none"/>
              </w:rPr>
            </w:pPr>
            <w:r>
              <w:rPr>
                <w:highlight w:val="none"/>
              </w:rPr>
              <w:t xml:space="preserve">конкурс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7"/>
              <w:spacing w:before="120"/>
            </w:pPr>
            <w:r>
              <w:t xml:space="preserve">Предмет закупки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37"/>
              <w:spacing w:before="120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Приобретение фрезерного станка для Талаховской ТЭС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7"/>
              <w:spacing w:before="120"/>
            </w:pPr>
            <w:r>
              <w:t xml:space="preserve">Дата/время проведения заседания: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37"/>
              <w:spacing w:before="120"/>
            </w:pPr>
            <w:r>
              <w:t xml:space="preserve">«15» декабря 2025г. 08:00 (</w:t>
            </w:r>
            <w:r>
              <w:rPr>
                <w:i/>
                <w:sz w:val="22"/>
                <w:szCs w:val="22"/>
              </w:rPr>
              <w:t xml:space="preserve">по московскому времени</w:t>
            </w:r>
            <w:r>
              <w:rPr>
                <w:i/>
                <w:sz w:val="22"/>
                <w:szCs w:val="22"/>
              </w:rPr>
              <w:t xml:space="preserve">)</w:t>
            </w:r>
            <w: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7"/>
              <w:spacing w:before="120"/>
            </w:pPr>
            <w:r>
              <w:t xml:space="preserve">Дата подписания протокола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37"/>
              <w:spacing w:before="120"/>
            </w:pPr>
            <w:r>
              <w:t xml:space="preserve">«15» декабря 2025г.</w:t>
            </w:r>
            <w: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7"/>
              <w:spacing w:before="120"/>
            </w:pPr>
            <w:r>
              <w:t xml:space="preserve">Начальная (максимальная) цена: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37"/>
              <w:spacing w:before="120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7 338 160,00</w:t>
            </w:r>
            <w:r>
              <w:rPr>
                <w:highlight w:val="none"/>
              </w:rPr>
              <w:t xml:space="preserve"> руб. без НДС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7"/>
              <w:spacing w:before="120"/>
            </w:pPr>
            <w:r>
              <w:t xml:space="preserve">Участниками могут быть только субъекты МСП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37"/>
              <w:spacing w:before="120"/>
            </w:pPr>
            <w:r>
              <w:t xml:space="preserve">нет</w:t>
            </w:r>
            <w: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4361" w:type="dxa"/>
            <w:vAlign w:val="bottom"/>
            <w:textDirection w:val="lrTb"/>
            <w:noWrap w:val="false"/>
          </w:tcPr>
          <w:p>
            <w:pPr>
              <w:pStyle w:val="937"/>
              <w:spacing w:before="120"/>
            </w:pPr>
            <w:r>
              <w:t xml:space="preserve">Объем, цена закупаемых товаров, работ, услуг, срок исполнения договора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5812" w:type="dxa"/>
            <w:vAlign w:val="bottom"/>
            <w:textDirection w:val="lrTb"/>
            <w:noWrap w:val="false"/>
          </w:tcPr>
          <w:p>
            <w:pPr>
              <w:pStyle w:val="937"/>
              <w:spacing w:before="120"/>
            </w:pPr>
            <w:r>
              <w:t xml:space="preserve">В соответствии с Закупочной документацией</w:t>
            </w:r>
            <w:r/>
          </w:p>
        </w:tc>
      </w:tr>
    </w:tbl>
    <w:p>
      <w:pPr>
        <w:ind w:firstLine="709"/>
        <w:spacing w:before="120" w:after="120"/>
        <w:rPr>
          <w:b/>
          <w:bCs/>
        </w:rPr>
      </w:pPr>
      <w:r>
        <w:rPr>
          <w:b/>
          <w:highlight w:val="none"/>
        </w:rPr>
      </w:r>
      <w:r>
        <w:rPr>
          <w:b/>
          <w:bCs/>
        </w:rPr>
      </w:r>
      <w:r>
        <w:rPr>
          <w:b/>
          <w:bCs/>
        </w:rPr>
      </w:r>
    </w:p>
    <w:p>
      <w:pPr>
        <w:pStyle w:val="937"/>
        <w:ind w:firstLine="709"/>
        <w:spacing w:before="120" w:after="120"/>
        <w:rPr>
          <w:b/>
          <w:bCs/>
          <w:highlight w:val="none"/>
        </w:rPr>
      </w:pPr>
      <w:r>
        <w:rPr>
          <w:b/>
        </w:rPr>
        <w:t xml:space="preserve">ВОПРОСЫ ЗАСЕДАНИЯ </w:t>
      </w:r>
      <w:r>
        <w:rPr>
          <w:b/>
        </w:rPr>
        <w:t xml:space="preserve">ЗАКУПОЧ</w:t>
      </w:r>
      <w:r>
        <w:rPr>
          <w:b/>
        </w:rPr>
        <w:t xml:space="preserve">НОЙ КОМИССИИ: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937"/>
        <w:ind w:firstLine="709"/>
        <w:spacing w:before="120" w:after="120"/>
        <w:rPr>
          <w:i/>
          <w:color w:val="548dd4"/>
          <w:highlight w:val="none"/>
        </w:rPr>
      </w:pPr>
      <w:r>
        <w:rPr>
          <w:highlight w:val="none"/>
        </w:rPr>
        <w:t xml:space="preserve">На </w:t>
      </w:r>
      <w:r>
        <w:rPr>
          <w:highlight w:val="none"/>
        </w:rPr>
        <w:t xml:space="preserve">участие в </w:t>
      </w:r>
      <w:r>
        <w:rPr>
          <w:highlight w:val="none"/>
        </w:rPr>
        <w:t xml:space="preserve">закупк</w:t>
      </w:r>
      <w:r>
        <w:rPr>
          <w:highlight w:val="none"/>
        </w:rPr>
        <w:t xml:space="preserve">е</w:t>
      </w:r>
      <w:r>
        <w:rPr>
          <w:i/>
          <w:color w:val="548dd4"/>
          <w:highlight w:val="none"/>
        </w:rPr>
        <w:t xml:space="preserve"> </w:t>
      </w:r>
      <w:r>
        <w:rPr>
          <w:highlight w:val="none"/>
        </w:rPr>
        <w:t xml:space="preserve">было п</w:t>
      </w:r>
      <w:r>
        <w:rPr>
          <w:highlight w:val="none"/>
        </w:rPr>
        <w:t xml:space="preserve">одано</w:t>
      </w:r>
      <w:r>
        <w:rPr>
          <w:highlight w:val="none"/>
        </w:rPr>
        <w:t xml:space="preserve">:</w:t>
      </w:r>
      <w:r>
        <w:rPr>
          <w:highlight w:val="none"/>
        </w:rPr>
        <w:t xml:space="preserve"> </w:t>
      </w:r>
      <w:r>
        <w:rPr>
          <w:i/>
          <w:color w:val="548dd4"/>
          <w:highlight w:val="none"/>
        </w:rPr>
      </w:r>
      <w:r>
        <w:rPr>
          <w:i/>
          <w:color w:val="548dd4"/>
          <w:highlight w:val="none"/>
        </w:rPr>
      </w:r>
    </w:p>
    <w:tbl>
      <w:tblPr>
        <w:tblW w:w="9923" w:type="dxa"/>
        <w:tblInd w:w="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64"/>
        <w:gridCol w:w="4114"/>
        <w:gridCol w:w="5245"/>
      </w:tblGrid>
      <w:tr>
        <w:tblPrEx/>
        <w:trPr>
          <w:trHeight w:val="473"/>
          <w:tblHeader/>
        </w:trPr>
        <w:tc>
          <w:tcPr>
            <w:shd w:val="clear" w:color="ffffff" w:fill="bfbfbf"/>
            <w:tcBorders>
              <w:bottom w:val="single" w:color="000000" w:sz="6" w:space="0"/>
            </w:tcBorders>
            <w:tcW w:w="564" w:type="dxa"/>
            <w:vAlign w:val="center"/>
            <w:textDirection w:val="lrTb"/>
            <w:noWrap w:val="false"/>
          </w:tcPr>
          <w:p>
            <w:pPr>
              <w:pStyle w:val="937"/>
              <w:ind w:left="-108" w:right="-108"/>
              <w:jc w:val="center"/>
              <w:keepNext/>
              <w:spacing w:before="40" w:after="40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 xml:space="preserve">№</w:t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  <w:p>
            <w:pPr>
              <w:pStyle w:val="937"/>
              <w:ind w:left="-108" w:right="-108"/>
              <w:jc w:val="center"/>
              <w:keepNext/>
              <w:spacing w:before="40" w:after="40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 xml:space="preserve">п/п</w:t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shd w:val="clear" w:color="ffffff" w:fill="bfbfbf"/>
            <w:tcBorders>
              <w:bottom w:val="single" w:color="000000" w:sz="6" w:space="0"/>
            </w:tcBorders>
            <w:tcW w:w="4114" w:type="dxa"/>
            <w:vAlign w:val="center"/>
            <w:textDirection w:val="lrTb"/>
            <w:noWrap w:val="false"/>
          </w:tcPr>
          <w:p>
            <w:pPr>
              <w:pStyle w:val="937"/>
              <w:ind w:left="57" w:right="57"/>
              <w:jc w:val="center"/>
              <w:keepNext/>
              <w:spacing w:before="40" w:after="40"/>
              <w:rPr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 xml:space="preserve">Порядковый номер Участника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shd w:val="clear" w:color="ffffff" w:fill="bfbfbf"/>
            <w:tcBorders>
              <w:bottom w:val="single" w:color="000000" w:sz="6" w:space="0"/>
            </w:tcBorders>
            <w:tcW w:w="5245" w:type="dxa"/>
            <w:vAlign w:val="center"/>
            <w:textDirection w:val="lrTb"/>
            <w:noWrap w:val="false"/>
          </w:tcPr>
          <w:p>
            <w:pPr>
              <w:pStyle w:val="937"/>
              <w:ind w:left="57" w:right="57"/>
              <w:jc w:val="center"/>
              <w:keepNext/>
              <w:spacing w:before="40" w:after="40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 xml:space="preserve">Дата и время регистрации заявки</w:t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</w:tr>
      <w:tr>
        <w:tblPrEx/>
        <w:trPr>
          <w:trHeight w:val="275"/>
          <w:tblHeader/>
        </w:trPr>
        <w:tc>
          <w:tcPr>
            <w:shd w:val="clear" w:color="ffffff" w:fill="bfbfbf"/>
            <w:tcW w:w="564" w:type="dxa"/>
            <w:vAlign w:val="center"/>
            <w:textDirection w:val="lrTb"/>
            <w:noWrap w:val="false"/>
          </w:tcPr>
          <w:p>
            <w:pPr>
              <w:pStyle w:val="937"/>
              <w:ind w:left="34"/>
              <w:jc w:val="center"/>
              <w:rPr>
                <w:i/>
                <w:sz w:val="18"/>
                <w:szCs w:val="18"/>
                <w:highlight w:val="none"/>
              </w:rPr>
            </w:pPr>
            <w:r>
              <w:rPr>
                <w:i/>
                <w:sz w:val="18"/>
                <w:szCs w:val="18"/>
                <w:highlight w:val="none"/>
              </w:rPr>
              <w:t xml:space="preserve">1</w:t>
            </w:r>
            <w:r>
              <w:rPr>
                <w:i/>
                <w:sz w:val="18"/>
                <w:szCs w:val="18"/>
                <w:highlight w:val="none"/>
              </w:rPr>
            </w:r>
            <w:r>
              <w:rPr>
                <w:i/>
                <w:sz w:val="18"/>
                <w:szCs w:val="18"/>
                <w:highlight w:val="none"/>
              </w:rPr>
            </w:r>
          </w:p>
        </w:tc>
        <w:tc>
          <w:tcPr>
            <w:shd w:val="clear" w:color="ffffff" w:fill="bfbfbf"/>
            <w:tcW w:w="4114" w:type="dxa"/>
            <w:vAlign w:val="center"/>
            <w:textDirection w:val="lrTb"/>
            <w:noWrap w:val="false"/>
          </w:tcPr>
          <w:p>
            <w:pPr>
              <w:pStyle w:val="937"/>
              <w:ind w:left="57" w:right="57"/>
              <w:jc w:val="center"/>
              <w:spacing w:before="40" w:after="40"/>
              <w:rPr>
                <w:i/>
                <w:sz w:val="18"/>
                <w:szCs w:val="18"/>
                <w:highlight w:val="none"/>
              </w:rPr>
            </w:pPr>
            <w:r>
              <w:rPr>
                <w:i/>
                <w:sz w:val="18"/>
                <w:szCs w:val="18"/>
                <w:highlight w:val="none"/>
              </w:rPr>
              <w:t xml:space="preserve">2</w:t>
            </w:r>
            <w:r>
              <w:rPr>
                <w:i/>
                <w:sz w:val="18"/>
                <w:szCs w:val="18"/>
                <w:highlight w:val="none"/>
              </w:rPr>
            </w:r>
            <w:r>
              <w:rPr>
                <w:i/>
                <w:sz w:val="18"/>
                <w:szCs w:val="18"/>
                <w:highlight w:val="none"/>
              </w:rPr>
            </w:r>
          </w:p>
        </w:tc>
        <w:tc>
          <w:tcPr>
            <w:shd w:val="clear" w:color="ffffff" w:fill="bfbfbf"/>
            <w:tcW w:w="5245" w:type="dxa"/>
            <w:vAlign w:val="center"/>
            <w:textDirection w:val="lrTb"/>
            <w:noWrap w:val="false"/>
          </w:tcPr>
          <w:p>
            <w:pPr>
              <w:pStyle w:val="937"/>
              <w:ind w:left="57" w:right="57"/>
              <w:jc w:val="center"/>
              <w:spacing w:before="40" w:after="40"/>
              <w:rPr>
                <w:i/>
                <w:sz w:val="18"/>
                <w:szCs w:val="18"/>
                <w:highlight w:val="none"/>
              </w:rPr>
            </w:pPr>
            <w:r>
              <w:rPr>
                <w:i/>
                <w:sz w:val="18"/>
                <w:szCs w:val="18"/>
                <w:highlight w:val="none"/>
              </w:rPr>
              <w:t xml:space="preserve">3</w:t>
            </w:r>
            <w:r>
              <w:rPr>
                <w:i/>
                <w:sz w:val="18"/>
                <w:szCs w:val="18"/>
                <w:highlight w:val="none"/>
              </w:rPr>
            </w:r>
            <w:r>
              <w:rPr>
                <w:i/>
                <w:sz w:val="18"/>
                <w:szCs w:val="18"/>
                <w:highlight w:val="none"/>
              </w:rPr>
            </w:r>
          </w:p>
        </w:tc>
      </w:tr>
      <w:tr>
        <w:tblPrEx/>
        <w:trPr>
          <w:trHeight w:val="474"/>
        </w:trPr>
        <w:tc>
          <w:tcPr>
            <w:tcW w:w="564" w:type="dxa"/>
            <w:vAlign w:val="center"/>
            <w:textDirection w:val="lrTb"/>
            <w:noWrap w:val="false"/>
          </w:tcPr>
          <w:p>
            <w:pPr>
              <w:pStyle w:val="937"/>
              <w:numPr>
                <w:ilvl w:val="0"/>
                <w:numId w:val="21"/>
              </w:numPr>
              <w:ind w:left="0" w:firstLine="0"/>
              <w:jc w:val="both"/>
              <w:spacing w:line="240" w:lineRule="auto"/>
              <w:rPr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4114" w:type="dxa"/>
            <w:vAlign w:val="center"/>
            <w:textDirection w:val="lrTb"/>
            <w:noWrap w:val="false"/>
          </w:tcPr>
          <w:p>
            <w:pPr>
              <w:pStyle w:val="937"/>
              <w:spacing w:line="240" w:lineRule="auto"/>
              <w:rPr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 xml:space="preserve">Участник №1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left w:val="single" w:color="000000" w:sz="4" w:space="0"/>
            </w:tcBorders>
            <w:tcW w:w="5245" w:type="dxa"/>
            <w:vAlign w:val="center"/>
            <w:textDirection w:val="lrTb"/>
            <w:noWrap w:val="false"/>
          </w:tcPr>
          <w:p>
            <w:pPr>
              <w:pStyle w:val="937"/>
              <w:jc w:val="both"/>
              <w:spacing w:line="240" w:lineRule="auto"/>
              <w:rPr>
                <w:sz w:val="20"/>
                <w:szCs w:val="20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07.11.2025 09:41:40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blPrEx/>
        <w:trPr>
          <w:trHeight w:val="474"/>
        </w:trPr>
        <w:tc>
          <w:tcPr>
            <w:tcW w:w="564" w:type="dxa"/>
            <w:vAlign w:val="center"/>
            <w:vMerge w:val="restart"/>
            <w:textDirection w:val="lrTb"/>
            <w:noWrap w:val="false"/>
          </w:tcPr>
          <w:p>
            <w:pPr>
              <w:pStyle w:val="937"/>
              <w:numPr>
                <w:ilvl w:val="0"/>
                <w:numId w:val="21"/>
              </w:numPr>
              <w:ind w:left="0" w:firstLine="0"/>
              <w:jc w:val="both"/>
              <w:spacing w:line="240" w:lineRule="auto"/>
              <w:rPr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4114" w:type="dxa"/>
            <w:vAlign w:val="center"/>
            <w:vMerge w:val="restart"/>
            <w:textDirection w:val="lrTb"/>
            <w:noWrap w:val="false"/>
          </w:tcPr>
          <w:p>
            <w:pPr>
              <w:pStyle w:val="937"/>
              <w:spacing w:line="240" w:lineRule="auto"/>
              <w:rPr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Участник №</w:t>
            </w:r>
            <w:r>
              <w:rPr>
                <w:sz w:val="22"/>
                <w:szCs w:val="22"/>
                <w:highlight w:val="none"/>
              </w:rPr>
              <w:t xml:space="preserve">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left w:val="single" w:color="000000" w:sz="4" w:space="0"/>
            </w:tcBorders>
            <w:tcW w:w="5245" w:type="dxa"/>
            <w:vAlign w:val="center"/>
            <w:vMerge w:val="restart"/>
            <w:textDirection w:val="lrTb"/>
            <w:noWrap w:val="false"/>
          </w:tcPr>
          <w:p>
            <w:pPr>
              <w:pStyle w:val="937"/>
              <w:jc w:val="both"/>
              <w:spacing w:line="240" w:lineRule="auto"/>
              <w:rPr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12.11.2025 10:27:35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>
          <w:trHeight w:val="474"/>
        </w:trPr>
        <w:tc>
          <w:tcPr>
            <w:tcW w:w="564" w:type="dxa"/>
            <w:vAlign w:val="center"/>
            <w:vMerge w:val="restart"/>
            <w:textDirection w:val="lrTb"/>
            <w:noWrap w:val="false"/>
          </w:tcPr>
          <w:p>
            <w:pPr>
              <w:pStyle w:val="937"/>
              <w:numPr>
                <w:ilvl w:val="0"/>
                <w:numId w:val="21"/>
              </w:numPr>
              <w:ind w:left="0" w:firstLine="0"/>
              <w:jc w:val="both"/>
              <w:spacing w:line="240" w:lineRule="auto"/>
              <w:rPr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4114" w:type="dxa"/>
            <w:vAlign w:val="center"/>
            <w:vMerge w:val="restart"/>
            <w:textDirection w:val="lrTb"/>
            <w:noWrap w:val="false"/>
          </w:tcPr>
          <w:p>
            <w:pPr>
              <w:pStyle w:val="937"/>
              <w:spacing w:line="240" w:lineRule="auto"/>
              <w:rPr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Участник №</w:t>
            </w:r>
            <w:r>
              <w:rPr>
                <w:sz w:val="22"/>
                <w:szCs w:val="22"/>
                <w:highlight w:val="none"/>
              </w:rPr>
              <w:t xml:space="preserve">3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left w:val="single" w:color="000000" w:sz="4" w:space="0"/>
            </w:tcBorders>
            <w:tcW w:w="5245" w:type="dxa"/>
            <w:vAlign w:val="center"/>
            <w:vMerge w:val="restart"/>
            <w:textDirection w:val="lrTb"/>
            <w:noWrap w:val="false"/>
          </w:tcPr>
          <w:p>
            <w:pPr>
              <w:pStyle w:val="937"/>
              <w:jc w:val="both"/>
              <w:spacing w:line="240" w:lineRule="auto"/>
              <w:rPr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13.11.2025 10:22:06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>
          <w:trHeight w:val="474"/>
        </w:trPr>
        <w:tc>
          <w:tcPr>
            <w:tcW w:w="564" w:type="dxa"/>
            <w:vAlign w:val="center"/>
            <w:vMerge w:val="restart"/>
            <w:textDirection w:val="lrTb"/>
            <w:noWrap w:val="false"/>
          </w:tcPr>
          <w:p>
            <w:pPr>
              <w:pStyle w:val="937"/>
              <w:numPr>
                <w:ilvl w:val="0"/>
                <w:numId w:val="21"/>
              </w:numPr>
              <w:ind w:left="0" w:firstLine="0"/>
              <w:jc w:val="both"/>
              <w:spacing w:line="240" w:lineRule="auto"/>
              <w:rPr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4114" w:type="dxa"/>
            <w:vAlign w:val="center"/>
            <w:vMerge w:val="restart"/>
            <w:textDirection w:val="lrTb"/>
            <w:noWrap w:val="false"/>
          </w:tcPr>
          <w:p>
            <w:pPr>
              <w:pStyle w:val="937"/>
              <w:spacing w:line="240" w:lineRule="auto"/>
              <w:rPr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Участник №</w:t>
            </w:r>
            <w:r>
              <w:rPr>
                <w:sz w:val="22"/>
                <w:szCs w:val="22"/>
                <w:highlight w:val="none"/>
              </w:rPr>
              <w:t xml:space="preserve">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left w:val="single" w:color="000000" w:sz="4" w:space="0"/>
            </w:tcBorders>
            <w:tcW w:w="5245" w:type="dxa"/>
            <w:vAlign w:val="center"/>
            <w:vMerge w:val="restart"/>
            <w:textDirection w:val="lrTb"/>
            <w:noWrap w:val="false"/>
          </w:tcPr>
          <w:p>
            <w:pPr>
              <w:pStyle w:val="937"/>
              <w:jc w:val="both"/>
              <w:spacing w:line="240" w:lineRule="auto"/>
              <w:rPr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17.11.2025 11:28:59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>
          <w:trHeight w:val="474"/>
        </w:trPr>
        <w:tc>
          <w:tcPr>
            <w:tcW w:w="564" w:type="dxa"/>
            <w:vAlign w:val="center"/>
            <w:vMerge w:val="restart"/>
            <w:textDirection w:val="lrTb"/>
            <w:noWrap w:val="false"/>
          </w:tcPr>
          <w:p>
            <w:pPr>
              <w:pStyle w:val="937"/>
              <w:numPr>
                <w:ilvl w:val="0"/>
                <w:numId w:val="21"/>
              </w:numPr>
              <w:ind w:left="0" w:firstLine="0"/>
              <w:jc w:val="both"/>
              <w:spacing w:line="240" w:lineRule="auto"/>
              <w:rPr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4114" w:type="dxa"/>
            <w:vAlign w:val="center"/>
            <w:vMerge w:val="restart"/>
            <w:textDirection w:val="lrTb"/>
            <w:noWrap w:val="false"/>
          </w:tcPr>
          <w:p>
            <w:pPr>
              <w:pStyle w:val="937"/>
              <w:spacing w:line="240" w:lineRule="auto"/>
              <w:rPr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Участник №</w:t>
            </w:r>
            <w:r>
              <w:rPr>
                <w:sz w:val="22"/>
                <w:szCs w:val="22"/>
                <w:highlight w:val="none"/>
              </w:rPr>
              <w:t xml:space="preserve">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left w:val="single" w:color="000000" w:sz="4" w:space="0"/>
            </w:tcBorders>
            <w:tcW w:w="5245" w:type="dxa"/>
            <w:vAlign w:val="center"/>
            <w:vMerge w:val="restart"/>
            <w:textDirection w:val="lrTb"/>
            <w:noWrap w:val="false"/>
          </w:tcPr>
          <w:p>
            <w:pPr>
              <w:pStyle w:val="937"/>
              <w:jc w:val="both"/>
              <w:spacing w:line="240" w:lineRule="auto"/>
              <w:rPr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17.11.2025 11:45:27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ind w:firstLine="567"/>
        <w:jc w:val="both"/>
        <w:spacing w:before="120" w:after="12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937"/>
        <w:spacing w:before="120" w:after="120"/>
        <w:rPr>
          <w:b/>
        </w:rPr>
      </w:pPr>
      <w:r>
        <w:rPr>
          <w:b/>
        </w:rPr>
        <w:t xml:space="preserve">Вопрос 1 повестки:</w:t>
      </w:r>
      <w:r>
        <w:rPr>
          <w:b/>
        </w:rPr>
      </w:r>
      <w:r>
        <w:rPr>
          <w:b/>
        </w:rPr>
      </w:r>
    </w:p>
    <w:p>
      <w:pPr>
        <w:pStyle w:val="937"/>
        <w:ind w:firstLine="709"/>
        <w:jc w:val="both"/>
        <w:spacing w:before="120" w:after="120"/>
        <w:widowControl w:val="off"/>
      </w:pPr>
      <w:r>
        <w:t xml:space="preserve">Об одобрении</w:t>
      </w:r>
      <w:r>
        <w:t xml:space="preserve"> Сводного отчета Экспертной группы по оценке </w:t>
      </w:r>
      <w:r>
        <w:t xml:space="preserve">заявок</w:t>
      </w:r>
      <w:r>
        <w:t xml:space="preserve">.</w:t>
      </w:r>
      <w:r/>
    </w:p>
    <w:p>
      <w:pPr>
        <w:pStyle w:val="937"/>
        <w:ind w:firstLine="709"/>
        <w:jc w:val="both"/>
        <w:spacing w:before="120" w:after="120"/>
        <w:widowControl w:val="off"/>
      </w:pPr>
      <w:r>
        <w:t xml:space="preserve">Члены Закупоч</w:t>
      </w:r>
      <w:r>
        <w:t xml:space="preserve">ной комиссии изучили поступившие </w:t>
      </w:r>
      <w:r>
        <w:t xml:space="preserve">заявки</w:t>
      </w:r>
      <w:r>
        <w:t xml:space="preserve">. Результаты оценки сведены в </w:t>
      </w:r>
      <w:r>
        <w:t xml:space="preserve">Сводный отчет Экспертной группы по оценке </w:t>
      </w:r>
      <w:r>
        <w:t xml:space="preserve">заявок</w:t>
      </w:r>
      <w:r>
        <w:t xml:space="preserve"> (</w:t>
      </w:r>
      <w:r>
        <w:t xml:space="preserve">приложение № 1)</w:t>
      </w:r>
      <w:r>
        <w:t xml:space="preserve">.</w:t>
      </w:r>
      <w:r/>
    </w:p>
    <w:p>
      <w:pPr>
        <w:pStyle w:val="937"/>
        <w:ind w:firstLine="709"/>
        <w:jc w:val="both"/>
        <w:spacing w:before="120" w:after="120"/>
        <w:widowControl w:val="off"/>
      </w:pPr>
      <w:r>
        <w:t xml:space="preserve">Закупоч</w:t>
      </w:r>
      <w:r>
        <w:t xml:space="preserve">ной комиссии предлагается </w:t>
      </w:r>
      <w:r>
        <w:t xml:space="preserve">одобрить Сводный отчет Экспертной группы по оценке </w:t>
      </w:r>
      <w:r>
        <w:t xml:space="preserve">заявок</w:t>
      </w:r>
      <w:r>
        <w:t xml:space="preserve">.</w:t>
      </w:r>
      <w:r/>
    </w:p>
    <w:p>
      <w:pPr>
        <w:jc w:val="both"/>
        <w:spacing w:before="120" w:after="120"/>
        <w:widowControl w:val="off"/>
        <w:rPr>
          <w:bCs/>
          <w:i/>
          <w:color w:val="ff0000"/>
        </w:rPr>
      </w:pPr>
      <w:r>
        <w:rPr>
          <w:i/>
          <w:color w:val="ff0000"/>
          <w:highlight w:val="none"/>
        </w:rPr>
      </w:r>
      <w:r>
        <w:rPr>
          <w:bCs/>
          <w:i/>
          <w:color w:val="ff0000"/>
        </w:rPr>
      </w:r>
      <w:r>
        <w:rPr>
          <w:bCs/>
          <w:i/>
          <w:color w:val="ff0000"/>
        </w:rPr>
      </w:r>
    </w:p>
    <w:p>
      <w:pPr>
        <w:pStyle w:val="937"/>
        <w:spacing w:before="120" w:after="120"/>
        <w:rPr>
          <w:b/>
        </w:rPr>
      </w:pPr>
      <w:r>
        <w:rPr>
          <w:b/>
        </w:rPr>
        <w:t xml:space="preserve">Вопрос </w:t>
      </w:r>
      <w:r>
        <w:rPr>
          <w:b/>
        </w:rPr>
        <w:t xml:space="preserve">2</w:t>
      </w:r>
      <w:r>
        <w:rPr>
          <w:b/>
        </w:rPr>
        <w:t xml:space="preserve"> повестки:</w:t>
      </w:r>
      <w:r>
        <w:rPr>
          <w:b/>
        </w:rPr>
        <w:t xml:space="preserve"> </w:t>
      </w:r>
      <w:r>
        <w:rPr>
          <w:b/>
        </w:rPr>
      </w:r>
      <w:r>
        <w:rPr>
          <w:b/>
        </w:rPr>
      </w:r>
    </w:p>
    <w:p>
      <w:pPr>
        <w:pStyle w:val="937"/>
        <w:ind w:firstLine="709"/>
        <w:jc w:val="both"/>
        <w:spacing w:before="120" w:after="120"/>
      </w:pPr>
      <w:r>
        <w:t xml:space="preserve">Предлагается отк</w:t>
      </w:r>
      <w:r>
        <w:t xml:space="preserve">лонить </w:t>
      </w:r>
      <w:r>
        <w:t xml:space="preserve">заявки</w:t>
      </w:r>
      <w:r>
        <w:t xml:space="preserve"> участников в соответствии со Сводным отчетом Экспертной группы (приложение № 1)</w:t>
      </w:r>
      <w:r>
        <w:t xml:space="preserve">.</w:t>
      </w:r>
      <w:r/>
    </w:p>
    <w:p>
      <w:pPr>
        <w:jc w:val="both"/>
        <w:spacing w:before="120" w:after="120"/>
      </w:pPr>
      <w:r>
        <w:rPr>
          <w:highlight w:val="none"/>
        </w:rPr>
      </w:r>
      <w:r/>
    </w:p>
    <w:p>
      <w:pPr>
        <w:pStyle w:val="937"/>
        <w:spacing w:before="120" w:after="120"/>
        <w:rPr>
          <w:b/>
        </w:rPr>
      </w:pPr>
      <w:r>
        <w:rPr>
          <w:b/>
        </w:rPr>
        <w:t xml:space="preserve">Вопрос </w:t>
      </w:r>
      <w:r>
        <w:rPr>
          <w:b/>
        </w:rPr>
        <w:t xml:space="preserve">3</w:t>
      </w:r>
      <w:r>
        <w:rPr>
          <w:b/>
        </w:rPr>
        <w:t xml:space="preserve"> повестки:</w:t>
      </w:r>
      <w:r>
        <w:rPr>
          <w:b/>
        </w:rPr>
        <w:t xml:space="preserve"> </w:t>
      </w:r>
      <w:r>
        <w:rPr>
          <w:b/>
        </w:rPr>
      </w:r>
      <w:r>
        <w:rPr>
          <w:b/>
        </w:rPr>
      </w:r>
    </w:p>
    <w:p>
      <w:pPr>
        <w:pStyle w:val="937"/>
        <w:ind w:firstLine="708"/>
        <w:jc w:val="both"/>
        <w:widowControl w:val="off"/>
        <w:rPr>
          <w:i/>
        </w:rPr>
      </w:pPr>
      <w:r/>
      <w:bookmarkStart w:id="0" w:name="undefined"/>
      <w:r>
        <w:t xml:space="preserve">О признании </w:t>
      </w:r>
      <w:r>
        <w:t xml:space="preserve">закупки</w:t>
      </w:r>
      <w:r>
        <w:rPr>
          <w:i/>
          <w:color w:val="548dd4"/>
        </w:rPr>
        <w:t xml:space="preserve"> </w:t>
      </w:r>
      <w:r>
        <w:t xml:space="preserve">несостоявшейся</w:t>
      </w:r>
      <w:r>
        <w:rPr>
          <w:i/>
        </w:rPr>
        <w:t xml:space="preserve">.</w:t>
      </w:r>
      <w:r>
        <w:rPr>
          <w:i/>
        </w:rPr>
      </w:r>
      <w:r>
        <w:rPr>
          <w:i/>
        </w:rPr>
      </w:r>
    </w:p>
    <w:p>
      <w:pPr>
        <w:pStyle w:val="937"/>
        <w:ind w:firstLine="708"/>
        <w:jc w:val="both"/>
        <w:widowControl w:val="off"/>
      </w:pPr>
      <w:r>
        <w:t xml:space="preserve">В связи с тем, что</w:t>
      </w:r>
      <w:r>
        <w:t xml:space="preserve"> </w:t>
      </w:r>
      <w:r>
        <w:rPr>
          <w:i w:val="0"/>
          <w:iCs w:val="0"/>
          <w:color w:val="000000" w:themeColor="text1"/>
        </w:rPr>
        <w:t xml:space="preserve">по результатам </w:t>
      </w:r>
      <w:r>
        <w:rPr>
          <w:i w:val="0"/>
          <w:iCs w:val="0"/>
          <w:color w:val="000000" w:themeColor="text1"/>
        </w:rPr>
        <w:t xml:space="preserve">проведения закупки все заявки на участие в закупке отклонены</w:t>
      </w:r>
      <w:r>
        <w:rPr>
          <w:i w:val="0"/>
          <w:iCs w:val="0"/>
          <w:color w:val="000000" w:themeColor="text1"/>
        </w:rPr>
        <w:t xml:space="preserve">, </w:t>
      </w:r>
      <w:r>
        <w:t xml:space="preserve">предлагается признать </w:t>
      </w:r>
      <w:r>
        <w:t xml:space="preserve">закупку</w:t>
      </w:r>
      <w:r>
        <w:rPr>
          <w:i/>
          <w:color w:val="548dd4"/>
        </w:rPr>
        <w:t xml:space="preserve"> </w:t>
      </w:r>
      <w:r>
        <w:t xml:space="preserve">несостоявшейся.</w:t>
      </w:r>
      <w:r/>
    </w:p>
    <w:p>
      <w:pPr>
        <w:pStyle w:val="937"/>
        <w:jc w:val="both"/>
      </w:pPr>
      <w:r/>
      <w:r/>
    </w:p>
    <w:p>
      <w:pPr>
        <w:pStyle w:val="937"/>
        <w:ind w:firstLine="709"/>
        <w:spacing w:before="120" w:after="120"/>
        <w:rPr>
          <w:b/>
        </w:rPr>
      </w:pPr>
      <w:r>
        <w:rPr>
          <w:b/>
        </w:rPr>
        <w:t xml:space="preserve">РЕШИЛИ:</w:t>
      </w:r>
      <w:r>
        <w:rPr>
          <w:b/>
        </w:rPr>
      </w:r>
      <w:r>
        <w:rPr>
          <w:b/>
        </w:rPr>
      </w:r>
    </w:p>
    <w:p>
      <w:pPr>
        <w:pStyle w:val="937"/>
        <w:numPr>
          <w:ilvl w:val="0"/>
          <w:numId w:val="22"/>
        </w:numPr>
        <w:ind w:left="0" w:firstLine="0"/>
        <w:jc w:val="both"/>
        <w:spacing w:before="120"/>
        <w:tabs>
          <w:tab w:val="left" w:pos="709" w:leader="none"/>
        </w:tabs>
      </w:pPr>
      <w:r>
        <w:t xml:space="preserve">О</w:t>
      </w:r>
      <w:r>
        <w:t xml:space="preserve">добрить </w:t>
      </w:r>
      <w:r>
        <w:t xml:space="preserve">Отчет по итоговой оценке </w:t>
      </w:r>
      <w:r>
        <w:t xml:space="preserve">заявок</w:t>
      </w:r>
      <w:r>
        <w:t xml:space="preserve">.</w:t>
      </w:r>
      <w:r/>
    </w:p>
    <w:p>
      <w:pPr>
        <w:pStyle w:val="937"/>
        <w:numPr>
          <w:ilvl w:val="0"/>
          <w:numId w:val="22"/>
        </w:numPr>
        <w:ind w:left="0" w:firstLine="0"/>
        <w:jc w:val="both"/>
        <w:spacing w:before="120"/>
        <w:tabs>
          <w:tab w:val="left" w:pos="-2835" w:leader="none"/>
          <w:tab w:val="left" w:pos="709" w:leader="none"/>
        </w:tabs>
      </w:pPr>
      <w:r/>
      <w:bookmarkStart w:id="0" w:name="undefined"/>
      <w:r/>
      <w:bookmarkStart w:id="0" w:name="undefined"/>
      <w:r>
        <w:t xml:space="preserve">Отклонить </w:t>
      </w:r>
      <w:r>
        <w:t xml:space="preserve">заявки</w:t>
      </w:r>
      <w:r>
        <w:t xml:space="preserve"> </w:t>
      </w:r>
      <w:r>
        <w:t xml:space="preserve">участников в соответствии со Сводным отчетом Экспертной группы (приложение № 1).</w:t>
      </w:r>
      <w:r/>
    </w:p>
    <w:p>
      <w:pPr>
        <w:pStyle w:val="937"/>
        <w:numPr>
          <w:ilvl w:val="0"/>
          <w:numId w:val="22"/>
        </w:numPr>
        <w:ind w:left="0" w:firstLine="0"/>
        <w:jc w:val="both"/>
        <w:spacing w:before="120"/>
        <w:tabs>
          <w:tab w:val="left" w:pos="709" w:leader="none"/>
        </w:tabs>
      </w:pPr>
      <w:r/>
      <w:bookmarkEnd w:id="0"/>
      <w:r>
        <w:t xml:space="preserve">П</w:t>
      </w:r>
      <w:r>
        <w:t xml:space="preserve">ризнать </w:t>
      </w:r>
      <w:r>
        <w:t xml:space="preserve">закупку</w:t>
      </w:r>
      <w:r>
        <w:rPr>
          <w:i/>
          <w:color w:val="548dd4"/>
        </w:rPr>
        <w:t xml:space="preserve"> </w:t>
      </w:r>
      <w:r>
        <w:t xml:space="preserve">несостоявшейся</w:t>
      </w:r>
      <w:r>
        <w:t xml:space="preserve">.</w:t>
      </w:r>
      <w:r/>
    </w:p>
    <w:p>
      <w:pPr>
        <w:ind w:left="0" w:firstLine="0"/>
        <w:jc w:val="both"/>
      </w:pPr>
      <w:r/>
      <w:r/>
    </w:p>
    <w:sectPr>
      <w:headerReference w:type="default" r:id="rId9"/>
      <w:footnotePr/>
      <w:endnotePr/>
      <w:type w:val="nextPage"/>
      <w:pgSz w:w="11906" w:h="16838" w:orient="portrait"/>
      <w:pgMar w:top="1134" w:right="851" w:bottom="1134" w:left="1134" w:header="709" w:footer="709" w:gutter="0"/>
      <w:pgNumType w:start="2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ios">
    <w:panose1 w:val="020B0604020202020204"/>
  </w:font>
  <w:font w:name="HeliosCond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Tahoma">
    <w:panose1 w:val="020B0604030504040204"/>
  </w:font>
  <w:font w:name="Verdan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11907" w:type="dxa"/>
      <w:tblInd w:w="-1026" w:type="dxa"/>
      <w:tblLayout w:type="autofit"/>
      <w:tblCellMar>
        <w:left w:w="108" w:type="dxa"/>
        <w:top w:w="0" w:type="dxa"/>
        <w:right w:w="108" w:type="dxa"/>
        <w:bottom w:w="0" w:type="dxa"/>
      </w:tblCellMar>
      <w:tblLook w:val="04A0" w:firstRow="1" w:lastRow="0" w:firstColumn="1" w:lastColumn="0" w:noHBand="0" w:noVBand="1"/>
    </w:tblPr>
    <w:tblGrid>
      <w:gridCol w:w="11907"/>
    </w:tblGrid>
    <w:tr>
      <w:tblPrEx/>
      <w:trPr>
        <w:trHeight w:val="991"/>
      </w:trPr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W w:w="11907" w:type="dxa"/>
          <w:vAlign w:val="center"/>
          <w:textDirection w:val="lrTb"/>
          <w:noWrap w:val="false"/>
        </w:tcPr>
        <w:p>
          <w:pPr>
            <w:pStyle w:val="937"/>
            <w:jc w:val="center"/>
            <w:widowControl w:val="off"/>
            <w:tabs>
              <w:tab w:val="left" w:pos="907" w:leader="none"/>
              <w:tab w:val="left" w:pos="3525" w:leader="none"/>
              <w:tab w:val="left" w:pos="8931" w:leader="none"/>
            </w:tabs>
            <w:rPr>
              <w:lang w:eastAsia="en-US"/>
            </w:rPr>
          </w:pPr>
          <w:r>
            <w:rPr>
              <w:lang w:eastAsia="en-US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2162175" cy="695325"/>
                    <wp:effectExtent l="0" t="0" r="0" b="0"/>
                    <wp:docPr id="1" name="_x0000_i1026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2162175" cy="695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170.25pt;height:54.75pt;mso-wrap-distance-left:0.00pt;mso-wrap-distance-top:0.00pt;mso-wrap-distance-right:0.00pt;mso-wrap-distance-bottom:0.0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lang w:eastAsia="en-US"/>
            </w:rPr>
          </w:r>
          <w:r>
            <w:rPr>
              <w:lang w:eastAsia="en-US"/>
            </w:rPr>
          </w:r>
        </w:p>
      </w:tc>
    </w:tr>
    <w:tr>
      <w:tblPrEx/>
      <w:trPr>
        <w:trHeight w:val="707"/>
      </w:trPr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W w:w="11907" w:type="dxa"/>
          <w:vAlign w:val="center"/>
          <w:textDirection w:val="lrTb"/>
          <w:noWrap w:val="false"/>
        </w:tcPr>
        <w:p>
          <w:pPr>
            <w:pStyle w:val="937"/>
            <w:ind w:left="1168" w:right="1167"/>
            <w:jc w:val="center"/>
            <w:tabs>
              <w:tab w:val="left" w:pos="8931" w:leader="none"/>
            </w:tabs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Большая Пироговская ул., д. 27, стр. 3, г. Москва, Россия, 119435</w:t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</w:p>
        <w:p>
          <w:pPr>
            <w:pStyle w:val="937"/>
            <w:jc w:val="center"/>
            <w:tabs>
              <w:tab w:val="left" w:pos="8931" w:leader="none"/>
            </w:tabs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Телефон: +7 (495) 664 8840, Факс: +7 (495) 664 8841</w:t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</w:p>
        <w:p>
          <w:pPr>
            <w:pStyle w:val="937"/>
            <w:ind w:left="1168" w:right="1167"/>
            <w:jc w:val="center"/>
            <w:widowControl w:val="off"/>
            <w:tabs>
              <w:tab w:val="left" w:pos="8931" w:leader="none"/>
            </w:tabs>
            <w:rPr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www.interrao-zakupki.ru</w:t>
          </w:r>
          <w:r>
            <w:rPr>
              <w:sz w:val="18"/>
              <w:szCs w:val="18"/>
              <w:lang w:eastAsia="en-US"/>
            </w:rPr>
          </w:r>
          <w:r>
            <w:rPr>
              <w:sz w:val="18"/>
              <w:szCs w:val="18"/>
              <w:lang w:eastAsia="en-US"/>
            </w:rPr>
          </w:r>
        </w:p>
      </w:tc>
    </w:tr>
  </w:tbl>
  <w:p>
    <w:pPr>
      <w:pStyle w:val="943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ascii="Symbol" w:hAnsi="Symbol"/>
        <w:b w:val="0"/>
        <w:i w:val="0"/>
        <w:color w:val="000000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0" w:leader="none"/>
        </w:tabs>
      </w:pPr>
    </w:lvl>
    <w:lvl w:ilvl="1">
      <w:start w:val="1"/>
      <w:numFmt w:val="decimal"/>
      <w:isLgl w:val="false"/>
      <w:suff w:val="tab"/>
      <w:lvlText w:val="%1.%2"/>
      <w:lvlJc w:val="left"/>
      <w:pPr>
        <w:tabs>
          <w:tab w:val="num" w:pos="0" w:leader="none"/>
        </w:tabs>
      </w:pPr>
      <w:rPr>
        <w:color w:val="000000"/>
      </w:rPr>
    </w:lvl>
    <w:lvl w:ilvl="2">
      <w:start w:val="1"/>
      <w:numFmt w:val="decimal"/>
      <w:isLgl w:val="false"/>
      <w:suff w:val="tab"/>
      <w:lvlText w:val="%1.%2.%3"/>
      <w:lvlJc w:val="left"/>
      <w:pPr>
        <w:tabs>
          <w:tab w:val="num" w:pos="0" w:leader="none"/>
        </w:tabs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709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8"/>
        <w:szCs w:val="28"/>
        <w:vertAlign w:val="baseline"/>
      </w:rPr>
    </w:lvl>
    <w:lvl w:ilvl="1">
      <w:start w:val="1"/>
      <w:numFmt w:val="decimal"/>
      <w:isLgl w:val="false"/>
      <w:suff w:val="tab"/>
      <w:lvlText w:val="%2."/>
      <w:lvlJc w:val="left"/>
      <w:pPr>
        <w:ind w:left="1080" w:firstLine="0"/>
        <w:tabs>
          <w:tab w:val="num" w:pos="108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8"/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40" w:hanging="360"/>
        <w:tabs>
          <w:tab w:val="num" w:pos="1440" w:leader="none"/>
        </w:tabs>
      </w:pPr>
      <w:rPr>
        <w:rFonts w:ascii="Symbol" w:hAnsi="Symbol"/>
        <w:b w:val="0"/>
        <w:i w:val="0"/>
        <w:color w:val="000000"/>
        <w:sz w:val="16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40" w:hanging="360"/>
        <w:tabs>
          <w:tab w:val="num" w:pos="1440" w:leader="none"/>
        </w:tabs>
      </w:pPr>
      <w:rPr>
        <w:rFonts w:ascii="Symbol" w:hAnsi="Symbol"/>
        <w:b w:val="0"/>
        <w:i w:val="0"/>
        <w:color w:val="000000"/>
        <w:sz w:val="16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5"/>
  </w:num>
  <w:num w:numId="5">
    <w:abstractNumId w:val="17"/>
  </w:num>
  <w:num w:numId="6">
    <w:abstractNumId w:val="14"/>
  </w:num>
  <w:num w:numId="7">
    <w:abstractNumId w:val="5"/>
  </w:num>
  <w:num w:numId="8">
    <w:abstractNumId w:val="9"/>
  </w:num>
  <w:num w:numId="9">
    <w:abstractNumId w:val="7"/>
  </w:num>
  <w:num w:numId="10">
    <w:abstractNumId w:val="1"/>
  </w:num>
  <w:num w:numId="11">
    <w:abstractNumId w:val="8"/>
  </w:num>
  <w:num w:numId="12">
    <w:abstractNumId w:val="12"/>
  </w:num>
  <w:num w:numId="13">
    <w:abstractNumId w:val="18"/>
  </w:num>
  <w:num w:numId="14">
    <w:abstractNumId w:val="11"/>
  </w:num>
  <w:num w:numId="15">
    <w:abstractNumId w:val="16"/>
  </w:num>
  <w:num w:numId="16">
    <w:abstractNumId w:val="3"/>
  </w:num>
  <w:num w:numId="17">
    <w:abstractNumId w:val="13"/>
  </w:num>
  <w:num w:numId="18">
    <w:abstractNumId w:val="6"/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</w:num>
  <w:num w:numId="21">
    <w:abstractNumId w:val="19"/>
  </w:num>
  <w:num w:numId="22">
    <w:abstractNumId w:val="20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59">
    <w:name w:val="Heading 1"/>
    <w:basedOn w:val="937"/>
    <w:next w:val="937"/>
    <w:link w:val="760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60">
    <w:name w:val="Heading 1 Char"/>
    <w:link w:val="759"/>
    <w:uiPriority w:val="9"/>
    <w:rPr>
      <w:rFonts w:ascii="Arial" w:hAnsi="Arial" w:eastAsia="Arial" w:cs="Arial"/>
      <w:sz w:val="40"/>
      <w:szCs w:val="40"/>
    </w:rPr>
  </w:style>
  <w:style w:type="paragraph" w:styleId="761">
    <w:name w:val="Heading 2"/>
    <w:basedOn w:val="937"/>
    <w:next w:val="937"/>
    <w:link w:val="762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62">
    <w:name w:val="Heading 2 Char"/>
    <w:link w:val="761"/>
    <w:uiPriority w:val="9"/>
    <w:rPr>
      <w:rFonts w:ascii="Arial" w:hAnsi="Arial" w:eastAsia="Arial" w:cs="Arial"/>
      <w:sz w:val="34"/>
    </w:rPr>
  </w:style>
  <w:style w:type="paragraph" w:styleId="763">
    <w:name w:val="Heading 3"/>
    <w:basedOn w:val="937"/>
    <w:next w:val="937"/>
    <w:link w:val="764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64">
    <w:name w:val="Heading 3 Char"/>
    <w:link w:val="763"/>
    <w:uiPriority w:val="9"/>
    <w:rPr>
      <w:rFonts w:ascii="Arial" w:hAnsi="Arial" w:eastAsia="Arial" w:cs="Arial"/>
      <w:sz w:val="30"/>
      <w:szCs w:val="30"/>
    </w:rPr>
  </w:style>
  <w:style w:type="paragraph" w:styleId="765">
    <w:name w:val="Heading 4"/>
    <w:basedOn w:val="937"/>
    <w:next w:val="937"/>
    <w:link w:val="766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66">
    <w:name w:val="Heading 4 Char"/>
    <w:link w:val="765"/>
    <w:uiPriority w:val="9"/>
    <w:rPr>
      <w:rFonts w:ascii="Arial" w:hAnsi="Arial" w:eastAsia="Arial" w:cs="Arial"/>
      <w:b/>
      <w:bCs/>
      <w:sz w:val="26"/>
      <w:szCs w:val="26"/>
    </w:rPr>
  </w:style>
  <w:style w:type="paragraph" w:styleId="767">
    <w:name w:val="Heading 5"/>
    <w:basedOn w:val="937"/>
    <w:next w:val="937"/>
    <w:link w:val="768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68">
    <w:name w:val="Heading 5 Char"/>
    <w:link w:val="767"/>
    <w:uiPriority w:val="9"/>
    <w:rPr>
      <w:rFonts w:ascii="Arial" w:hAnsi="Arial" w:eastAsia="Arial" w:cs="Arial"/>
      <w:b/>
      <w:bCs/>
      <w:sz w:val="24"/>
      <w:szCs w:val="24"/>
    </w:rPr>
  </w:style>
  <w:style w:type="paragraph" w:styleId="769">
    <w:name w:val="Heading 6"/>
    <w:basedOn w:val="937"/>
    <w:next w:val="937"/>
    <w:link w:val="770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70">
    <w:name w:val="Heading 6 Char"/>
    <w:link w:val="769"/>
    <w:uiPriority w:val="9"/>
    <w:rPr>
      <w:rFonts w:ascii="Arial" w:hAnsi="Arial" w:eastAsia="Arial" w:cs="Arial"/>
      <w:b/>
      <w:bCs/>
      <w:sz w:val="22"/>
      <w:szCs w:val="22"/>
    </w:rPr>
  </w:style>
  <w:style w:type="paragraph" w:styleId="771">
    <w:name w:val="Heading 7"/>
    <w:basedOn w:val="937"/>
    <w:next w:val="937"/>
    <w:link w:val="77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72">
    <w:name w:val="Heading 7 Char"/>
    <w:link w:val="77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73">
    <w:name w:val="Heading 8"/>
    <w:basedOn w:val="937"/>
    <w:next w:val="937"/>
    <w:link w:val="77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74">
    <w:name w:val="Heading 8 Char"/>
    <w:link w:val="773"/>
    <w:uiPriority w:val="9"/>
    <w:rPr>
      <w:rFonts w:ascii="Arial" w:hAnsi="Arial" w:eastAsia="Arial" w:cs="Arial"/>
      <w:i/>
      <w:iCs/>
      <w:sz w:val="22"/>
      <w:szCs w:val="22"/>
    </w:rPr>
  </w:style>
  <w:style w:type="paragraph" w:styleId="775">
    <w:name w:val="Heading 9"/>
    <w:basedOn w:val="937"/>
    <w:next w:val="937"/>
    <w:link w:val="776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76">
    <w:name w:val="Heading 9 Char"/>
    <w:link w:val="775"/>
    <w:uiPriority w:val="9"/>
    <w:rPr>
      <w:rFonts w:ascii="Arial" w:hAnsi="Arial" w:eastAsia="Arial" w:cs="Arial"/>
      <w:i/>
      <w:iCs/>
      <w:sz w:val="21"/>
      <w:szCs w:val="21"/>
    </w:rPr>
  </w:style>
  <w:style w:type="paragraph" w:styleId="777">
    <w:name w:val="List Paragraph"/>
    <w:basedOn w:val="937"/>
    <w:uiPriority w:val="34"/>
    <w:qFormat/>
    <w:pPr>
      <w:contextualSpacing/>
      <w:ind w:left="720"/>
    </w:pPr>
  </w:style>
  <w:style w:type="paragraph" w:styleId="778">
    <w:name w:val="No Spacing"/>
    <w:uiPriority w:val="1"/>
    <w:qFormat/>
    <w:pPr>
      <w:spacing w:before="0" w:after="0" w:line="240" w:lineRule="auto"/>
    </w:pPr>
  </w:style>
  <w:style w:type="paragraph" w:styleId="779">
    <w:name w:val="Title"/>
    <w:basedOn w:val="937"/>
    <w:next w:val="937"/>
    <w:link w:val="78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80">
    <w:name w:val="Title Char"/>
    <w:link w:val="779"/>
    <w:uiPriority w:val="10"/>
    <w:rPr>
      <w:sz w:val="48"/>
      <w:szCs w:val="48"/>
    </w:rPr>
  </w:style>
  <w:style w:type="paragraph" w:styleId="781">
    <w:name w:val="Subtitle"/>
    <w:basedOn w:val="937"/>
    <w:next w:val="937"/>
    <w:link w:val="782"/>
    <w:uiPriority w:val="11"/>
    <w:qFormat/>
    <w:pPr>
      <w:spacing w:before="200" w:after="200"/>
    </w:pPr>
    <w:rPr>
      <w:sz w:val="24"/>
      <w:szCs w:val="24"/>
    </w:rPr>
  </w:style>
  <w:style w:type="character" w:styleId="782">
    <w:name w:val="Subtitle Char"/>
    <w:link w:val="781"/>
    <w:uiPriority w:val="11"/>
    <w:rPr>
      <w:sz w:val="24"/>
      <w:szCs w:val="24"/>
    </w:rPr>
  </w:style>
  <w:style w:type="paragraph" w:styleId="783">
    <w:name w:val="Quote"/>
    <w:basedOn w:val="937"/>
    <w:next w:val="937"/>
    <w:link w:val="784"/>
    <w:uiPriority w:val="29"/>
    <w:qFormat/>
    <w:pPr>
      <w:ind w:left="720" w:right="720"/>
    </w:pPr>
    <w:rPr>
      <w:i/>
    </w:rPr>
  </w:style>
  <w:style w:type="character" w:styleId="784">
    <w:name w:val="Quote Char"/>
    <w:link w:val="783"/>
    <w:uiPriority w:val="29"/>
    <w:rPr>
      <w:i/>
    </w:rPr>
  </w:style>
  <w:style w:type="paragraph" w:styleId="785">
    <w:name w:val="Intense Quote"/>
    <w:basedOn w:val="937"/>
    <w:next w:val="937"/>
    <w:link w:val="78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86">
    <w:name w:val="Intense Quote Char"/>
    <w:link w:val="785"/>
    <w:uiPriority w:val="30"/>
    <w:rPr>
      <w:i/>
    </w:rPr>
  </w:style>
  <w:style w:type="paragraph" w:styleId="787">
    <w:name w:val="Header"/>
    <w:basedOn w:val="937"/>
    <w:link w:val="78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88">
    <w:name w:val="Header Char"/>
    <w:link w:val="787"/>
    <w:uiPriority w:val="99"/>
  </w:style>
  <w:style w:type="paragraph" w:styleId="789">
    <w:name w:val="Footer"/>
    <w:basedOn w:val="937"/>
    <w:link w:val="79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90">
    <w:name w:val="Footer Char"/>
    <w:link w:val="789"/>
    <w:uiPriority w:val="99"/>
  </w:style>
  <w:style w:type="paragraph" w:styleId="791">
    <w:name w:val="Caption"/>
    <w:basedOn w:val="937"/>
    <w:next w:val="937"/>
    <w:link w:val="79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92">
    <w:name w:val="Caption Char"/>
    <w:link w:val="791"/>
    <w:uiPriority w:val="35"/>
    <w:rPr>
      <w:b/>
      <w:bCs/>
      <w:color w:val="4f81bd" w:themeColor="accent1"/>
      <w:sz w:val="18"/>
      <w:szCs w:val="18"/>
    </w:rPr>
  </w:style>
  <w:style w:type="table" w:styleId="793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94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95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6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7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98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00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22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23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24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25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6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7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8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9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30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31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32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33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34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35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36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37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38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39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40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41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42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57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58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59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60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61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62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63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1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2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7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8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9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0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1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2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3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4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85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86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87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88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89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90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91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92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93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94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95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96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97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98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9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00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01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02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03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04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05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06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07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08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09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10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11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12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13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14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15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16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17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18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19">
    <w:name w:val="Hyperlink"/>
    <w:uiPriority w:val="99"/>
    <w:unhideWhenUsed/>
    <w:rPr>
      <w:color w:val="0000ff" w:themeColor="hyperlink"/>
      <w:u w:val="single"/>
    </w:rPr>
  </w:style>
  <w:style w:type="paragraph" w:styleId="920">
    <w:name w:val="footnote text"/>
    <w:basedOn w:val="937"/>
    <w:link w:val="921"/>
    <w:uiPriority w:val="99"/>
    <w:semiHidden/>
    <w:unhideWhenUsed/>
    <w:pPr>
      <w:spacing w:after="40" w:line="240" w:lineRule="auto"/>
    </w:pPr>
    <w:rPr>
      <w:sz w:val="18"/>
    </w:rPr>
  </w:style>
  <w:style w:type="character" w:styleId="921">
    <w:name w:val="Footnote Text Char"/>
    <w:link w:val="920"/>
    <w:uiPriority w:val="99"/>
    <w:rPr>
      <w:sz w:val="18"/>
    </w:rPr>
  </w:style>
  <w:style w:type="character" w:styleId="922">
    <w:name w:val="footnote reference"/>
    <w:uiPriority w:val="99"/>
    <w:unhideWhenUsed/>
    <w:rPr>
      <w:vertAlign w:val="superscript"/>
    </w:rPr>
  </w:style>
  <w:style w:type="paragraph" w:styleId="923">
    <w:name w:val="endnote text"/>
    <w:basedOn w:val="937"/>
    <w:link w:val="924"/>
    <w:uiPriority w:val="99"/>
    <w:semiHidden/>
    <w:unhideWhenUsed/>
    <w:pPr>
      <w:spacing w:after="0" w:line="240" w:lineRule="auto"/>
    </w:pPr>
    <w:rPr>
      <w:sz w:val="20"/>
    </w:rPr>
  </w:style>
  <w:style w:type="character" w:styleId="924">
    <w:name w:val="Endnote Text Char"/>
    <w:link w:val="923"/>
    <w:uiPriority w:val="99"/>
    <w:rPr>
      <w:sz w:val="20"/>
    </w:rPr>
  </w:style>
  <w:style w:type="character" w:styleId="925">
    <w:name w:val="endnote reference"/>
    <w:uiPriority w:val="99"/>
    <w:semiHidden/>
    <w:unhideWhenUsed/>
    <w:rPr>
      <w:vertAlign w:val="superscript"/>
    </w:rPr>
  </w:style>
  <w:style w:type="paragraph" w:styleId="926">
    <w:name w:val="toc 1"/>
    <w:basedOn w:val="937"/>
    <w:next w:val="937"/>
    <w:uiPriority w:val="39"/>
    <w:unhideWhenUsed/>
    <w:pPr>
      <w:ind w:left="0" w:right="0" w:firstLine="0"/>
      <w:spacing w:after="57"/>
    </w:pPr>
  </w:style>
  <w:style w:type="paragraph" w:styleId="927">
    <w:name w:val="toc 2"/>
    <w:basedOn w:val="937"/>
    <w:next w:val="937"/>
    <w:uiPriority w:val="39"/>
    <w:unhideWhenUsed/>
    <w:pPr>
      <w:ind w:left="283" w:right="0" w:firstLine="0"/>
      <w:spacing w:after="57"/>
    </w:pPr>
  </w:style>
  <w:style w:type="paragraph" w:styleId="928">
    <w:name w:val="toc 3"/>
    <w:basedOn w:val="937"/>
    <w:next w:val="937"/>
    <w:uiPriority w:val="39"/>
    <w:unhideWhenUsed/>
    <w:pPr>
      <w:ind w:left="567" w:right="0" w:firstLine="0"/>
      <w:spacing w:after="57"/>
    </w:pPr>
  </w:style>
  <w:style w:type="paragraph" w:styleId="929">
    <w:name w:val="toc 4"/>
    <w:basedOn w:val="937"/>
    <w:next w:val="937"/>
    <w:uiPriority w:val="39"/>
    <w:unhideWhenUsed/>
    <w:pPr>
      <w:ind w:left="850" w:right="0" w:firstLine="0"/>
      <w:spacing w:after="57"/>
    </w:pPr>
  </w:style>
  <w:style w:type="paragraph" w:styleId="930">
    <w:name w:val="toc 5"/>
    <w:basedOn w:val="937"/>
    <w:next w:val="937"/>
    <w:uiPriority w:val="39"/>
    <w:unhideWhenUsed/>
    <w:pPr>
      <w:ind w:left="1134" w:right="0" w:firstLine="0"/>
      <w:spacing w:after="57"/>
    </w:pPr>
  </w:style>
  <w:style w:type="paragraph" w:styleId="931">
    <w:name w:val="toc 6"/>
    <w:basedOn w:val="937"/>
    <w:next w:val="937"/>
    <w:uiPriority w:val="39"/>
    <w:unhideWhenUsed/>
    <w:pPr>
      <w:ind w:left="1417" w:right="0" w:firstLine="0"/>
      <w:spacing w:after="57"/>
    </w:pPr>
  </w:style>
  <w:style w:type="paragraph" w:styleId="932">
    <w:name w:val="toc 7"/>
    <w:basedOn w:val="937"/>
    <w:next w:val="937"/>
    <w:uiPriority w:val="39"/>
    <w:unhideWhenUsed/>
    <w:pPr>
      <w:ind w:left="1701" w:right="0" w:firstLine="0"/>
      <w:spacing w:after="57"/>
    </w:pPr>
  </w:style>
  <w:style w:type="paragraph" w:styleId="933">
    <w:name w:val="toc 8"/>
    <w:basedOn w:val="937"/>
    <w:next w:val="937"/>
    <w:uiPriority w:val="39"/>
    <w:unhideWhenUsed/>
    <w:pPr>
      <w:ind w:left="1984" w:right="0" w:firstLine="0"/>
      <w:spacing w:after="57"/>
    </w:pPr>
  </w:style>
  <w:style w:type="paragraph" w:styleId="934">
    <w:name w:val="toc 9"/>
    <w:basedOn w:val="937"/>
    <w:next w:val="937"/>
    <w:uiPriority w:val="39"/>
    <w:unhideWhenUsed/>
    <w:pPr>
      <w:ind w:left="2268" w:right="0" w:firstLine="0"/>
      <w:spacing w:after="57"/>
    </w:pPr>
  </w:style>
  <w:style w:type="paragraph" w:styleId="935">
    <w:name w:val="TOC Heading"/>
    <w:uiPriority w:val="39"/>
    <w:unhideWhenUsed/>
  </w:style>
  <w:style w:type="paragraph" w:styleId="936">
    <w:name w:val="table of figures"/>
    <w:basedOn w:val="937"/>
    <w:next w:val="937"/>
    <w:uiPriority w:val="99"/>
    <w:unhideWhenUsed/>
    <w:pPr>
      <w:spacing w:after="0" w:afterAutospacing="0"/>
    </w:pPr>
  </w:style>
  <w:style w:type="paragraph" w:styleId="937" w:default="1">
    <w:name w:val="Normal"/>
    <w:next w:val="937"/>
    <w:link w:val="937"/>
    <w:qFormat/>
    <w:rPr>
      <w:sz w:val="24"/>
      <w:szCs w:val="24"/>
      <w:lang w:val="ru-RU" w:eastAsia="ru-RU" w:bidi="ar-SA"/>
    </w:rPr>
  </w:style>
  <w:style w:type="paragraph" w:styleId="938">
    <w:name w:val="Заголовок 1"/>
    <w:basedOn w:val="937"/>
    <w:next w:val="937"/>
    <w:link w:val="937"/>
    <w:qFormat/>
    <w:pPr>
      <w:jc w:val="both"/>
      <w:keepNext/>
      <w:outlineLvl w:val="0"/>
    </w:pPr>
    <w:rPr>
      <w:sz w:val="28"/>
      <w:szCs w:val="28"/>
    </w:rPr>
  </w:style>
  <w:style w:type="character" w:styleId="939">
    <w:name w:val="Основной шрифт абзаца"/>
    <w:next w:val="939"/>
    <w:link w:val="937"/>
    <w:semiHidden/>
  </w:style>
  <w:style w:type="table" w:styleId="940">
    <w:name w:val="Обычная таблица"/>
    <w:next w:val="940"/>
    <w:link w:val="937"/>
    <w:semiHidden/>
    <w:tblPr/>
  </w:style>
  <w:style w:type="numbering" w:styleId="941">
    <w:name w:val="Нет списка"/>
    <w:next w:val="941"/>
    <w:link w:val="937"/>
    <w:semiHidden/>
  </w:style>
  <w:style w:type="paragraph" w:styleId="942">
    <w:name w:val="Default Paragraph Font Para Char Char Знак"/>
    <w:basedOn w:val="937"/>
    <w:next w:val="942"/>
    <w:link w:val="937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43">
    <w:name w:val="Верхний колонтитул"/>
    <w:basedOn w:val="937"/>
    <w:next w:val="943"/>
    <w:link w:val="937"/>
    <w:pPr>
      <w:tabs>
        <w:tab w:val="center" w:pos="4677" w:leader="none"/>
        <w:tab w:val="right" w:pos="9355" w:leader="none"/>
      </w:tabs>
    </w:pPr>
  </w:style>
  <w:style w:type="character" w:styleId="944">
    <w:name w:val="Номер страницы"/>
    <w:basedOn w:val="939"/>
    <w:next w:val="944"/>
    <w:link w:val="937"/>
  </w:style>
  <w:style w:type="paragraph" w:styleId="945">
    <w:name w:val="Таблица шапка"/>
    <w:basedOn w:val="937"/>
    <w:next w:val="945"/>
    <w:link w:val="937"/>
    <w:pPr>
      <w:ind w:left="57" w:right="57"/>
      <w:keepNext/>
      <w:spacing w:before="40" w:after="40"/>
    </w:pPr>
    <w:rPr>
      <w:sz w:val="22"/>
      <w:szCs w:val="20"/>
    </w:rPr>
  </w:style>
  <w:style w:type="paragraph" w:styleId="946">
    <w:name w:val="Таблица текст"/>
    <w:basedOn w:val="937"/>
    <w:next w:val="946"/>
    <w:link w:val="937"/>
    <w:pPr>
      <w:ind w:left="57" w:right="57"/>
      <w:spacing w:before="40" w:after="40"/>
    </w:pPr>
    <w:rPr>
      <w:szCs w:val="20"/>
    </w:rPr>
  </w:style>
  <w:style w:type="character" w:styleId="947">
    <w:name w:val="комментарий"/>
    <w:next w:val="947"/>
    <w:link w:val="937"/>
    <w:rPr>
      <w:b/>
      <w:i/>
      <w:shd w:val="clear" w:color="auto" w:fill="ffff99"/>
    </w:rPr>
  </w:style>
  <w:style w:type="paragraph" w:styleId="948">
    <w:name w:val="Схема документа"/>
    <w:basedOn w:val="937"/>
    <w:next w:val="948"/>
    <w:link w:val="937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949">
    <w:name w:val="Текст выноски"/>
    <w:basedOn w:val="937"/>
    <w:next w:val="949"/>
    <w:link w:val="937"/>
    <w:semiHidden/>
    <w:rPr>
      <w:rFonts w:ascii="Tahoma" w:hAnsi="Tahoma" w:cs="Tahoma"/>
      <w:sz w:val="16"/>
      <w:szCs w:val="16"/>
    </w:rPr>
  </w:style>
  <w:style w:type="table" w:styleId="950">
    <w:name w:val="Сетка таблицы"/>
    <w:basedOn w:val="940"/>
    <w:next w:val="950"/>
    <w:link w:val="937"/>
    <w:pPr>
      <w:ind w:firstLine="567"/>
      <w:jc w:val="both"/>
      <w:spacing w:line="360" w:lineRule="auto"/>
    </w:pPr>
    <w:tblPr/>
  </w:style>
  <w:style w:type="paragraph" w:styleId="951">
    <w:name w:val="Нижний колонтитул"/>
    <w:basedOn w:val="937"/>
    <w:next w:val="951"/>
    <w:link w:val="954"/>
    <w:uiPriority w:val="99"/>
    <w:pPr>
      <w:tabs>
        <w:tab w:val="center" w:pos="4677" w:leader="none"/>
        <w:tab w:val="right" w:pos="9355" w:leader="none"/>
      </w:tabs>
    </w:pPr>
    <w:rPr>
      <w:lang w:val="en-US" w:eastAsia="en-US"/>
    </w:rPr>
  </w:style>
  <w:style w:type="character" w:styleId="952">
    <w:name w:val="Комментраий Знак"/>
    <w:next w:val="952"/>
    <w:link w:val="937"/>
    <w:rPr>
      <w:i/>
      <w:color w:val="3366ff"/>
      <w:sz w:val="28"/>
      <w:szCs w:val="28"/>
      <w:lang w:val="ru-RU" w:eastAsia="ru-RU" w:bidi="ar-SA"/>
    </w:rPr>
  </w:style>
  <w:style w:type="table" w:styleId="953">
    <w:name w:val="Сетка таблицы1"/>
    <w:basedOn w:val="940"/>
    <w:next w:val="950"/>
    <w:link w:val="937"/>
    <w:tblPr/>
  </w:style>
  <w:style w:type="character" w:styleId="954">
    <w:name w:val="Нижний колонтитул Знак"/>
    <w:next w:val="954"/>
    <w:link w:val="951"/>
    <w:uiPriority w:val="99"/>
    <w:rPr>
      <w:sz w:val="24"/>
      <w:szCs w:val="24"/>
    </w:rPr>
  </w:style>
  <w:style w:type="paragraph" w:styleId="955">
    <w:name w:val="Обычный (веб)"/>
    <w:basedOn w:val="937"/>
    <w:next w:val="955"/>
    <w:link w:val="937"/>
    <w:uiPriority w:val="99"/>
    <w:unhideWhenUsed/>
    <w:pPr>
      <w:spacing w:before="100" w:beforeAutospacing="1" w:after="100" w:afterAutospacing="1"/>
    </w:pPr>
    <w:rPr>
      <w:rFonts w:ascii="Arial" w:hAnsi="Arial" w:cs="Arial"/>
      <w:color w:val="283555"/>
      <w:sz w:val="20"/>
      <w:szCs w:val="20"/>
    </w:rPr>
  </w:style>
  <w:style w:type="paragraph" w:styleId="956">
    <w:name w:val="Текст сноски"/>
    <w:basedOn w:val="937"/>
    <w:next w:val="956"/>
    <w:link w:val="957"/>
    <w:unhideWhenUsed/>
    <w:rPr>
      <w:sz w:val="20"/>
      <w:szCs w:val="20"/>
    </w:rPr>
  </w:style>
  <w:style w:type="character" w:styleId="957">
    <w:name w:val="Текст сноски Знак"/>
    <w:basedOn w:val="939"/>
    <w:next w:val="957"/>
    <w:link w:val="956"/>
  </w:style>
  <w:style w:type="character" w:styleId="958">
    <w:name w:val="Знак сноски"/>
    <w:next w:val="958"/>
    <w:link w:val="937"/>
    <w:unhideWhenUsed/>
    <w:rPr>
      <w:vertAlign w:val="superscript"/>
    </w:rPr>
  </w:style>
  <w:style w:type="character" w:styleId="959">
    <w:name w:val="Знак примечания"/>
    <w:next w:val="959"/>
    <w:link w:val="937"/>
    <w:rPr>
      <w:sz w:val="16"/>
      <w:szCs w:val="16"/>
    </w:rPr>
  </w:style>
  <w:style w:type="paragraph" w:styleId="960">
    <w:name w:val="Текст примечания"/>
    <w:basedOn w:val="937"/>
    <w:next w:val="960"/>
    <w:link w:val="961"/>
    <w:rPr>
      <w:sz w:val="20"/>
      <w:szCs w:val="20"/>
    </w:rPr>
  </w:style>
  <w:style w:type="character" w:styleId="961">
    <w:name w:val="Текст примечания Знак"/>
    <w:basedOn w:val="939"/>
    <w:next w:val="961"/>
    <w:link w:val="960"/>
  </w:style>
  <w:style w:type="paragraph" w:styleId="962">
    <w:name w:val="Тема примечания"/>
    <w:basedOn w:val="960"/>
    <w:next w:val="960"/>
    <w:link w:val="963"/>
    <w:rPr>
      <w:b/>
      <w:bCs/>
    </w:rPr>
  </w:style>
  <w:style w:type="character" w:styleId="963">
    <w:name w:val="Тема примечания Знак"/>
    <w:next w:val="963"/>
    <w:link w:val="962"/>
    <w:rPr>
      <w:b/>
      <w:bCs/>
    </w:rPr>
  </w:style>
  <w:style w:type="character" w:styleId="964" w:default="1">
    <w:name w:val="Default Paragraph Font"/>
    <w:uiPriority w:val="1"/>
    <w:semiHidden/>
    <w:unhideWhenUsed/>
  </w:style>
  <w:style w:type="numbering" w:styleId="965" w:default="1">
    <w:name w:val="No List"/>
    <w:uiPriority w:val="99"/>
    <w:semiHidden/>
    <w:unhideWhenUsed/>
  </w:style>
  <w:style w:type="table" w:styleId="966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вскрытия конвертов</dc:title>
  <cp:lastModifiedBy>poptsova_ks</cp:lastModifiedBy>
  <cp:revision>5</cp:revision>
  <dcterms:created xsi:type="dcterms:W3CDTF">2021-06-29T11:29:00Z</dcterms:created>
  <dcterms:modified xsi:type="dcterms:W3CDTF">2025-12-15T05:22:45Z</dcterms:modified>
  <cp:version>1048576</cp:version>
</cp:coreProperties>
</file>