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65"/>
        <w:jc w:val="center"/>
        <w:spacing w:before="0" w:beforeAutospacing="0" w:after="0" w:afterAutospacing="0"/>
        <w:rPr>
          <w:rFonts w:ascii="Times New Roman" w:hAnsi="Times New Roman" w:cs="Times New Roman"/>
          <w:b/>
          <w:i/>
          <w:sz w:val="24"/>
          <w:szCs w:val="24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ПРОТОКОЛ ЗАСЕДАНИЯ</w:t>
      </w:r>
      <w:r>
        <w:rPr>
          <w:rFonts w:ascii="Times New Roman" w:hAnsi="Times New Roman" w:cs="Times New Roman"/>
          <w:b/>
          <w:i/>
          <w:sz w:val="24"/>
          <w:szCs w:val="24"/>
        </w:rPr>
      </w:r>
      <w:r>
        <w:rPr>
          <w:rFonts w:ascii="Times New Roman" w:hAnsi="Times New Roman" w:cs="Times New Roman"/>
          <w:b/>
          <w:i/>
          <w:sz w:val="24"/>
          <w:szCs w:val="24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  <w:outlineLvl w:val="0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ПОСТОЯННО ДЕЙСТВУЮЩЕЙ ЗАКУПОЧНОЙ КОМИССИИ</w:t>
      </w:r>
      <w:r>
        <w:rPr>
          <w:b/>
          <w:bCs/>
          <w:i/>
          <w:sz w:val="23"/>
          <w:szCs w:val="23"/>
          <w:highlight w:val="white"/>
        </w:rPr>
        <w:t xml:space="preserve"> </w:t>
      </w:r>
      <w:r>
        <w:rPr>
          <w:b/>
          <w:bCs/>
          <w:i/>
          <w:sz w:val="23"/>
          <w:szCs w:val="23"/>
          <w:highlight w:val="white"/>
        </w:rPr>
        <w:t xml:space="preserve">№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i/>
          <w:iCs/>
          <w:color w:val="000000"/>
          <w:sz w:val="23"/>
          <w:szCs w:val="23"/>
          <w:highlight w:val="white"/>
        </w:rPr>
        <w:t xml:space="preserve">32515458517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/</w:t>
      </w:r>
      <w:r>
        <w:rPr>
          <w:rFonts w:ascii="Times New Roman" w:hAnsi="Times New Roman" w:eastAsia="Times New Roman" w:cs="Times New Roman"/>
          <w:b/>
          <w:bCs/>
          <w:i/>
          <w:iCs/>
          <w:sz w:val="23"/>
          <w:szCs w:val="23"/>
          <w:highlight w:val="white"/>
        </w:rPr>
        <w:t xml:space="preserve">1</w:t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</w:p>
    <w:p>
      <w:pPr>
        <w:jc w:val="center"/>
        <w:shd w:val="clear" w:color="ffffff" w:themeColor="background1" w:fill="ffffff" w:themeFill="background1"/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  <w:outlineLvl w:val="0"/>
      </w:pPr>
      <w:r>
        <w:rPr>
          <w:rFonts w:ascii="Times New Roman" w:hAnsi="Times New Roman" w:cs="Times New Roman"/>
          <w:b/>
          <w:bCs/>
          <w:i/>
          <w:i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  <w:r>
        <w:rPr>
          <w:rFonts w:ascii="Times New Roman" w:hAnsi="Times New Roman" w:cs="Times New Roman"/>
          <w:b/>
          <w:bCs/>
          <w:i/>
          <w:sz w:val="23"/>
          <w:szCs w:val="23"/>
          <w:highlight w:val="white"/>
        </w:rPr>
      </w:r>
    </w:p>
    <w:p>
      <w:pPr>
        <w:pStyle w:val="965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ата заседания комиссии: 15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5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Дата подписания протокола: 15 декабря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2025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года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5"/>
        <w:tabs>
          <w:tab w:val="left" w:pos="426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Форма проведения заседания комиссии: очно-заочная.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65"/>
        <w:jc w:val="both"/>
        <w:tabs>
          <w:tab w:val="left" w:pos="426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Общее число членов постоянно действующей закупочной комиссии филиала ПАО «Россети Юг» - «Кубаньэнерго» составляет - 9 (девять)</w:t>
      </w:r>
      <w:r>
        <w:rPr>
          <w:sz w:val="23"/>
          <w:szCs w:val="23"/>
        </w:rPr>
        <w:t xml:space="preserve">.</w:t>
      </w:r>
      <w:r>
        <w:rPr>
          <w:sz w:val="23"/>
          <w:szCs w:val="23"/>
        </w:rPr>
      </w:r>
      <w:r>
        <w:rPr>
          <w:sz w:val="23"/>
          <w:szCs w:val="23"/>
        </w:rPr>
      </w:r>
    </w:p>
    <w:tbl>
      <w:tblPr>
        <w:tblW w:w="10490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10490"/>
      </w:tblGrid>
      <w:tr>
        <w:tblPrEx/>
        <w:trPr>
          <w:trHeight w:val="1048"/>
        </w:trPr>
        <w:tc>
          <w:tcPr>
            <w:tcW w:w="10490" w:type="dxa"/>
            <w:vAlign w:val="top"/>
            <w:textDirection w:val="lrTb"/>
            <w:noWrap w:val="false"/>
          </w:tcPr>
          <w:p>
            <w:pPr>
              <w:pStyle w:val="965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Голосовали: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5"/>
              <w:jc w:val="both"/>
              <w:rPr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</w:rPr>
              <w:t xml:space="preserve">П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редседател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ь</w:t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 ПДЗК:</w:t>
            </w:r>
            <w:r>
              <w:rPr>
                <w:bCs/>
                <w:color w:val="000000"/>
                <w:sz w:val="23"/>
                <w:szCs w:val="23"/>
              </w:rPr>
              <w:t xml:space="preserve"> </w:t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bCs/>
                <w:color w:val="000000"/>
                <w:sz w:val="23"/>
                <w:szCs w:val="23"/>
              </w:rPr>
            </w:r>
            <w:r>
              <w:rPr>
                <w:bCs/>
                <w:color w:val="000000"/>
                <w:sz w:val="23"/>
                <w:szCs w:val="23"/>
              </w:rPr>
            </w:r>
          </w:p>
          <w:p>
            <w:pPr>
              <w:pStyle w:val="965"/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Заместитель председателя ПДЗК: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color w:val="000000"/>
                <w:sz w:val="23"/>
                <w:szCs w:val="23"/>
              </w:rPr>
              <w:t xml:space="preserve">О.Ф. Нищук.</w:t>
            </w:r>
            <w:r>
              <w:rPr>
                <w:color w:val="000000"/>
                <w:sz w:val="23"/>
                <w:szCs w:val="23"/>
              </w:rPr>
              <w:t xml:space="preserve"> 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  <w:p>
            <w:pPr>
              <w:pStyle w:val="965"/>
              <w:jc w:val="both"/>
              <w:rPr>
                <w:color w:val="000000"/>
                <w:sz w:val="23"/>
                <w:szCs w:val="23"/>
                <w:highlight w:val="none"/>
              </w:rPr>
            </w:pPr>
            <w:r>
              <w:rPr>
                <w:b/>
                <w:color w:val="000000"/>
                <w:sz w:val="23"/>
                <w:szCs w:val="23"/>
              </w:rPr>
              <w:t xml:space="preserve">Члены ПДЗК:</w:t>
            </w:r>
            <w:r>
              <w:rPr>
                <w:color w:val="000000"/>
                <w:sz w:val="23"/>
                <w:szCs w:val="23"/>
              </w:rPr>
              <w:t xml:space="preserve"> С.С. Шевченко, А.А. Часов, </w:t>
            </w:r>
            <w:r>
              <w:rPr>
                <w:bCs/>
                <w:color w:val="000000"/>
                <w:sz w:val="23"/>
                <w:szCs w:val="23"/>
              </w:rPr>
              <w:t xml:space="preserve">Д.А. Коновалов</w:t>
            </w:r>
            <w:r>
              <w:rPr>
                <w:color w:val="000000"/>
                <w:sz w:val="23"/>
                <w:szCs w:val="23"/>
              </w:rPr>
              <w:t xml:space="preserve">, О.В. Бабак.</w:t>
            </w:r>
            <w:r>
              <w:rPr>
                <w:color w:val="000000"/>
                <w:sz w:val="23"/>
                <w:szCs w:val="23"/>
                <w:highlight w:val="none"/>
              </w:rPr>
            </w:r>
            <w:r>
              <w:rPr>
                <w:color w:val="000000"/>
                <w:sz w:val="23"/>
                <w:szCs w:val="23"/>
                <w:highlight w:val="none"/>
              </w:rPr>
            </w:r>
          </w:p>
          <w:p>
            <w:pPr>
              <w:jc w:val="both"/>
              <w:rPr>
                <w:b/>
                <w:bCs/>
                <w:color w:val="000000"/>
                <w:sz w:val="23"/>
                <w:szCs w:val="23"/>
              </w:rPr>
            </w:pPr>
            <w:r>
              <w:rPr>
                <w:b/>
                <w:bCs/>
                <w:color w:val="000000"/>
                <w:sz w:val="23"/>
                <w:szCs w:val="23"/>
                <w:highlight w:val="none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  <w:t xml:space="preserve">Не приняли участие в голосовании: </w:t>
            </w:r>
            <w:r>
              <w:rPr>
                <w:sz w:val="23"/>
                <w:szCs w:val="23"/>
              </w:rPr>
              <w:t xml:space="preserve">В.А. Михайлов</w:t>
            </w:r>
            <w:r>
              <w:rPr>
                <w:sz w:val="23"/>
                <w:szCs w:val="23"/>
              </w:rPr>
              <w:t xml:space="preserve">, </w:t>
            </w:r>
            <w:r>
              <w:rPr>
                <w:color w:val="000000"/>
                <w:sz w:val="23"/>
                <w:szCs w:val="23"/>
              </w:rPr>
              <w:t xml:space="preserve">О.В. Крылов, С.С. Заворин.</w:t>
            </w:r>
            <w:r>
              <w:rPr>
                <w:b/>
                <w:bCs/>
                <w:color w:val="000000"/>
                <w:sz w:val="23"/>
                <w:szCs w:val="23"/>
              </w:rPr>
            </w:r>
            <w:r>
              <w:rPr>
                <w:b/>
                <w:bCs/>
                <w:color w:val="000000"/>
                <w:sz w:val="23"/>
                <w:szCs w:val="23"/>
              </w:rPr>
            </w:r>
          </w:p>
        </w:tc>
      </w:tr>
    </w:tbl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Кворум имеется. Комиссия правомочна.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Настоящий </w:t>
      </w:r>
      <w:r>
        <w:rPr>
          <w:rFonts w:ascii="Times New Roman" w:hAnsi="Times New Roman" w:eastAsia="Times New Roman" w:cs="Times New Roman"/>
          <w:bCs/>
          <w:sz w:val="23"/>
          <w:szCs w:val="23"/>
        </w:rPr>
        <w:t xml:space="preserve">запрос цен по результатам предварительного отбора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проводится с использованием функционала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Единой электронной торговой площадки «Росэлторг» (далее – ЕЭТП) согласно Правилам работы данной системы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  <w:highlight w:val="none"/>
        </w:rPr>
      </w:pP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  <w:r>
        <w:rPr>
          <w:rFonts w:ascii="Times New Roman" w:hAnsi="Times New Roman" w:cs="Times New Roman"/>
          <w:sz w:val="23"/>
          <w:szCs w:val="23"/>
          <w:highlight w:val="none"/>
        </w:rPr>
      </w:r>
    </w:p>
    <w:p>
      <w:pPr>
        <w:pStyle w:val="999"/>
        <w:numPr>
          <w:ilvl w:val="0"/>
          <w:numId w:val="33"/>
        </w:numPr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caps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ВОПРОСЫ ЗАСЕДАНИЯ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lang w:val="ru-RU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:</w:t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  <w:r>
        <w:rPr>
          <w:rFonts w:ascii="Times New Roman" w:hAnsi="Times New Roman" w:cs="Times New Roman"/>
          <w:b/>
          <w:bCs/>
          <w:caps/>
          <w:sz w:val="23"/>
          <w:szCs w:val="23"/>
        </w:rPr>
      </w:r>
    </w:p>
    <w:p>
      <w:pPr>
        <w:pStyle w:val="995"/>
        <w:numPr>
          <w:ilvl w:val="0"/>
          <w:numId w:val="44"/>
        </w:numPr>
        <w:contextualSpacing/>
        <w:ind w:left="0" w:firstLine="0"/>
        <w:jc w:val="both"/>
        <w:widowControl w:val="off"/>
        <w:tabs>
          <w:tab w:val="left" w:pos="284" w:leader="none"/>
        </w:tabs>
        <w:rPr>
          <w:sz w:val="23"/>
          <w:szCs w:val="23"/>
        </w:rPr>
      </w:pPr>
      <w:r>
        <w:rPr>
          <w:sz w:val="23"/>
          <w:szCs w:val="23"/>
        </w:rPr>
        <w:t xml:space="preserve"> О переносе сроков.</w:t>
      </w:r>
      <w:r>
        <w:rPr>
          <w:sz w:val="23"/>
          <w:szCs w:val="23"/>
        </w:rPr>
      </w:r>
      <w:r>
        <w:rPr>
          <w:sz w:val="23"/>
          <w:szCs w:val="23"/>
        </w:rPr>
      </w:r>
    </w:p>
    <w:p>
      <w:pPr>
        <w:pStyle w:val="995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 О признании заявок участников соответствующими условиям запроса цен по результатам предварительного отбора.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995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Об одобрении итогового ранжира заявок.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5"/>
        <w:contextualSpacing/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 О выборе победителя по запросу цен по результатам предварительного отбора.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995"/>
        <w:contextualSpacing/>
        <w:ind w:left="0" w:right="0" w:hanging="142"/>
        <w:jc w:val="both"/>
        <w:tabs>
          <w:tab w:val="left" w:pos="284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b/>
          <w:bCs/>
          <w:sz w:val="23"/>
          <w:szCs w:val="23"/>
        </w:rPr>
        <w:t xml:space="preserve">  II.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Информация о закупке.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i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Извещение о проведении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запроса цен по результатам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предварительного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отбора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в электронной форме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от 27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11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.202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  <w:highlight w:val="white"/>
        </w:rPr>
        <w:t xml:space="preserve">№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color w:val="000000"/>
          <w:sz w:val="23"/>
          <w:szCs w:val="23"/>
          <w:highlight w:val="white"/>
        </w:rPr>
        <w:t xml:space="preserve">32515458517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3"/>
          <w:szCs w:val="23"/>
          <w:highlight w:val="white"/>
        </w:rPr>
        <w:t xml:space="preserve">,</w:t>
      </w:r>
      <w:r>
        <w:rPr>
          <w:rFonts w:ascii="Times New Roman" w:hAnsi="Times New Roman" w:eastAsia="Times New Roman" w:cs="Times New Roman"/>
          <w:b/>
          <w:bCs/>
          <w:iCs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highlight w:val="white"/>
          <w:lang w:val="en-US" w:eastAsia="en-US"/>
        </w:rPr>
        <w:t xml:space="preserve">о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убликовано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на официальном сайте Единой информационной системы в сфере закупок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"http://www.zakupki.gov.ru"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9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www.zakupki.gov.ru</w:t>
      </w:r>
      <w:r>
        <w:rPr>
          <w:rFonts w:ascii="Times New Roman" w:hAnsi="Times New Roman" w:eastAsia="Times New Roman" w:cs="Times New Roman"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), с копией публикации на 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ЕЭТП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 «Росэлторг» (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begin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 HYPERLINK "http://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www.roseltorg.ru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instrText xml:space="preserve">" </w:instrTex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separate"/>
      </w:r>
      <w:r>
        <w:rPr>
          <w:rStyle w:val="989"/>
          <w:rFonts w:ascii="Times New Roman" w:hAnsi="Times New Roman" w:eastAsia="Times New Roman" w:cs="Times New Roman"/>
          <w:bCs/>
          <w:iCs/>
          <w:sz w:val="23"/>
          <w:szCs w:val="23"/>
        </w:rPr>
        <w:t xml:space="preserve">www.roseltorg.ru</w:t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fldChar w:fldCharType="end"/>
      </w:r>
      <w:r>
        <w:rPr>
          <w:rFonts w:ascii="Times New Roman" w:hAnsi="Times New Roman" w:eastAsia="Times New Roman" w:cs="Times New Roman"/>
          <w:bCs/>
          <w:iCs/>
          <w:sz w:val="23"/>
          <w:szCs w:val="23"/>
        </w:rPr>
        <w:t xml:space="preserve">).</w:t>
      </w:r>
      <w:r>
        <w:rPr>
          <w:rFonts w:ascii="Times New Roman" w:hAnsi="Times New Roman" w:cs="Times New Roman"/>
          <w:bCs/>
          <w:iCs/>
          <w:sz w:val="23"/>
          <w:szCs w:val="23"/>
        </w:rPr>
      </w:r>
      <w:r>
        <w:rPr>
          <w:rFonts w:ascii="Times New Roman" w:hAnsi="Times New Roman" w:cs="Times New Roman"/>
          <w:bCs/>
          <w:iCs/>
          <w:sz w:val="23"/>
          <w:szCs w:val="23"/>
        </w:rPr>
      </w:r>
    </w:p>
    <w:tbl>
      <w:tblPr>
        <w:tblW w:w="4888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5091"/>
        <w:gridCol w:w="3260"/>
        <w:gridCol w:w="197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917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965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Предмет договора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3260" w:type="dxa"/>
            <w:vAlign w:val="center"/>
            <w:textDirection w:val="lrTb"/>
            <w:noWrap w:val="false"/>
          </w:tcPr>
          <w:p>
            <w:pPr>
              <w:pStyle w:val="965"/>
              <w:ind w:firstLine="208"/>
              <w:jc w:val="center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Цена закупаемых товаров, работ,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W w:w="1976" w:type="dxa"/>
            <w:vAlign w:val="top"/>
            <w:textDirection w:val="lrTb"/>
            <w:noWrap w:val="false"/>
          </w:tcPr>
          <w:p>
            <w:pPr>
              <w:pStyle w:val="999"/>
              <w:ind w:firstLine="208"/>
              <w:jc w:val="center"/>
              <w:tabs>
                <w:tab w:val="left" w:pos="900" w:leader="none"/>
              </w:tabs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Срок поставки/ выполнения работ/ оказания услуг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2201"/>
        </w:trPr>
        <w:tc>
          <w:tcPr>
            <w:tcW w:w="5091" w:type="dxa"/>
            <w:vAlign w:val="center"/>
            <w:textDirection w:val="lrTb"/>
            <w:noWrap w:val="false"/>
          </w:tcPr>
          <w:p>
            <w:pPr>
              <w:pStyle w:val="787"/>
              <w:jc w:val="both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Право заключения договора на выполнение строительно-монтажных и пусконаладочных работ по объекту филиала АО «Россети Кубань» Краснодарские электрические сети «Строительство и реконструкция по 10 объектам для присоединения энергопринимающих устройств до 150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кВт льготной категории потребителей Северского, Краснодарского, Динского, Тахтамукайского и Теучежского РЭСов» (выпадающие доходы)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260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sz w:val="23"/>
                <w:szCs w:val="23"/>
              </w:rPr>
              <w:t xml:space="preserve">5 487 680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,49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5"/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6 585 216,59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 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shd w:val="clear" w:color="ffffff" w:themeColor="background1" w:fill="ffffff" w:themeFill="background1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 НДС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20%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1976" w:type="dxa"/>
            <w:vAlign w:val="center"/>
            <w:textDirection w:val="lrTb"/>
            <w:noWrap w:val="false"/>
          </w:tcPr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t xml:space="preserve">в течение 10 календарных дней с момента подписания договора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ind w:left="-6" w:right="-6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65"/>
        <w:numPr>
          <w:ilvl w:val="0"/>
          <w:numId w:val="34"/>
        </w:numPr>
        <w:ind w:left="0" w:firstLine="0"/>
        <w:jc w:val="both"/>
        <w:tabs>
          <w:tab w:val="left" w:pos="284" w:leader="none"/>
        </w:tabs>
        <w:rPr>
          <w:rFonts w:ascii="Times New Roman" w:hAnsi="Times New Roman" w:cs="Times New Roman"/>
          <w:bCs/>
          <w:sz w:val="23"/>
          <w:szCs w:val="23"/>
        </w:rPr>
      </w:pP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На момент окончания срока подачи заявок 05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.12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.202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5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г.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11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:00 (время московское) на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ЭТП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был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подан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ы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2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(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две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) заяв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ки</w:t>
      </w:r>
      <w:r>
        <w:rPr>
          <w:rFonts w:ascii="Times New Roman" w:hAnsi="Times New Roman" w:eastAsia="Times New Roman" w:cs="Times New Roman"/>
          <w:bCs/>
          <w:sz w:val="23"/>
          <w:szCs w:val="23"/>
          <w:lang w:val="en-US" w:eastAsia="en-US"/>
        </w:rPr>
        <w:t xml:space="preserve"> участник</w:t>
      </w:r>
      <w:r>
        <w:rPr>
          <w:rFonts w:ascii="Times New Roman" w:hAnsi="Times New Roman" w:eastAsia="Times New Roman" w:cs="Times New Roman"/>
          <w:bCs/>
          <w:sz w:val="23"/>
          <w:szCs w:val="23"/>
          <w:lang w:eastAsia="en-US"/>
        </w:rPr>
        <w:t xml:space="preserve">ов:</w:t>
      </w:r>
      <w:r>
        <w:rPr>
          <w:rFonts w:ascii="Times New Roman" w:hAnsi="Times New Roman" w:cs="Times New Roman"/>
          <w:bCs/>
          <w:sz w:val="23"/>
          <w:szCs w:val="23"/>
        </w:rPr>
      </w:r>
      <w:r>
        <w:rPr>
          <w:rFonts w:ascii="Times New Roman" w:hAnsi="Times New Roman" w:cs="Times New Roman"/>
          <w:bCs/>
          <w:sz w:val="23"/>
          <w:szCs w:val="23"/>
        </w:rPr>
      </w:r>
    </w:p>
    <w:tbl>
      <w:tblPr>
        <w:tblW w:w="10346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566"/>
        <w:gridCol w:w="3544"/>
        <w:gridCol w:w="2551"/>
        <w:gridCol w:w="368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698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3"/>
                <w:szCs w:val="23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  <w:tc>
          <w:tcPr>
            <w:tcW w:w="3685" w:type="dxa"/>
            <w:vAlign w:val="top"/>
            <w:textDirection w:val="lrTb"/>
            <w:noWrap w:val="false"/>
          </w:tcPr>
          <w:p>
            <w:pPr>
              <w:pStyle w:val="965"/>
              <w:jc w:val="center"/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bCs/>
                <w:sz w:val="23"/>
                <w:szCs w:val="23"/>
              </w:rPr>
              <w:t xml:space="preserve">Цена заявки</w:t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3"/>
                <w:szCs w:val="23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35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5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1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ind w:left="0" w:right="0" w:firstLine="0"/>
              <w:spacing w:before="0" w:after="0" w:line="195" w:lineRule="atLeast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ИП  ПАВЛЕНКО ОЛЬГА АЛЕКСЕЕВНА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30.11.2025 в 15:47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pStyle w:val="965"/>
              <w:jc w:val="left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5 432 803,68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5 704 443,86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с НДС 5 %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5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300"/>
        </w:trPr>
        <w:tc>
          <w:tcPr>
            <w:tcW w:w="566" w:type="dxa"/>
            <w:vAlign w:val="top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5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544" w:type="dxa"/>
            <w:vAlign w:val="center"/>
            <w:textDirection w:val="lrTb"/>
            <w:noWrap w:val="false"/>
          </w:tcPr>
          <w:p>
            <w:pPr>
              <w:pStyle w:val="965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ООО"ЮГЭНЕРГОБАЛАНС"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2551" w:type="dxa"/>
            <w:vAlign w:val="center"/>
            <w:textDirection w:val="lrTb"/>
            <w:noWrap/>
          </w:tcPr>
          <w:p>
            <w:pPr>
              <w:pStyle w:val="965"/>
              <w:jc w:val="center"/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30.11.2025 в 16:21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  <w:tc>
          <w:tcPr>
            <w:tcW w:w="3685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5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5 213 296,46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без НДС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5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6 255 955,75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руб.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Н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  <w:t xml:space="preserve">%</w:t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5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  <w:p>
            <w:pPr>
              <w:pStyle w:val="965"/>
              <w:jc w:val="center"/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  <w:r>
              <w:rPr>
                <w:rFonts w:ascii="Times New Roman" w:hAnsi="Times New Roman" w:cs="Times New Roman"/>
                <w:sz w:val="23"/>
                <w:szCs w:val="23"/>
                <w:highlight w:val="white"/>
              </w:rPr>
            </w:r>
          </w:p>
        </w:tc>
      </w:tr>
    </w:tbl>
    <w:p>
      <w:pPr>
        <w:pStyle w:val="999"/>
        <w:ind w:left="0" w:firstLine="0"/>
        <w:jc w:val="both"/>
        <w:spacing w:after="0"/>
        <w:tabs>
          <w:tab w:val="left" w:pos="426" w:leader="none"/>
        </w:tabs>
        <w:rPr>
          <w:rFonts w:ascii="Times New Roman" w:hAnsi="Times New Roman" w:cs="Times New Roman"/>
          <w:b/>
          <w:bCs/>
          <w:sz w:val="23"/>
          <w:szCs w:val="23"/>
          <w:highlight w:val="none"/>
        </w:rPr>
      </w:pP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b/>
          <w:bCs/>
          <w:caps/>
          <w:sz w:val="24"/>
          <w:szCs w:val="24"/>
        </w:rPr>
        <w:t xml:space="preserve">Ш. </w:t>
      </w:r>
      <w:r>
        <w:rPr>
          <w:rFonts w:ascii="Times New Roman" w:hAnsi="Times New Roman" w:eastAsia="Times New Roman" w:cs="Times New Roman"/>
          <w:b/>
          <w:bCs/>
          <w:caps/>
          <w:sz w:val="23"/>
          <w:szCs w:val="23"/>
        </w:rPr>
        <w:t xml:space="preserve">РЕШЕНИЕ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b/>
          <w:sz w:val="23"/>
          <w:szCs w:val="23"/>
        </w:rPr>
        <w:t xml:space="preserve">ПОСТОЯННО ДЕЙСТВУЮЩЕЙ ЗАКУПОЧНОЙ КОМИССИИ</w:t>
      </w:r>
      <w:r>
        <w:rPr>
          <w:rFonts w:ascii="Times New Roman" w:hAnsi="Times New Roman" w:eastAsia="Times New Roman" w:cs="Times New Roman"/>
          <w:b/>
          <w:sz w:val="23"/>
          <w:szCs w:val="23"/>
          <w:highlight w:val="white"/>
        </w:rPr>
        <w:t xml:space="preserve">:</w:t>
      </w:r>
      <w:r>
        <w:rPr>
          <w:rFonts w:ascii="Times New Roman" w:hAnsi="Times New Roman" w:cs="Times New Roman"/>
          <w:b/>
          <w:bCs/>
          <w:sz w:val="23"/>
          <w:szCs w:val="23"/>
          <w:highlight w:val="none"/>
        </w:rPr>
      </w:r>
      <w:r>
        <w:rPr>
          <w:rFonts w:ascii="Times New Roman" w:hAnsi="Times New Roman" w:cs="Times New Roman"/>
          <w:b/>
          <w:bCs/>
          <w:sz w:val="23"/>
          <w:szCs w:val="23"/>
          <w:highlight w:val="none"/>
        </w:rPr>
      </w:r>
    </w:p>
    <w:p>
      <w:pPr>
        <w:pStyle w:val="965"/>
        <w:numPr>
          <w:ilvl w:val="0"/>
          <w:numId w:val="45"/>
        </w:numPr>
        <w:ind w:left="709" w:hanging="709"/>
        <w:tabs>
          <w:tab w:val="left" w:pos="142" w:leader="none"/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Перене</w:t>
      </w:r>
      <w:r>
        <w:rPr>
          <w:sz w:val="24"/>
          <w:szCs w:val="24"/>
        </w:rPr>
        <w:t xml:space="preserve">сти срок рассмотрения заявок и подведения итогов на 15.12</w:t>
      </w:r>
      <w:r>
        <w:rPr>
          <w:sz w:val="24"/>
          <w:szCs w:val="24"/>
        </w:rPr>
        <w:t xml:space="preserve">.2025</w:t>
      </w:r>
      <w:r>
        <w:rPr>
          <w:sz w:val="24"/>
          <w:szCs w:val="24"/>
        </w:rPr>
        <w:t xml:space="preserve"> года.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5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заявки участников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 ПАВЛЕНКО ОЛЬГА АЛЕКСЕЕВНА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ООО"ЮГЭНЕРГОБАЛАНС"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ind w:left="0" w:right="0" w:firstLine="0"/>
        <w:jc w:val="both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соответствующими условиям запроса цен по результатам предварительного отбора.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5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ind w:left="0" w:right="0" w:firstLine="0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3. Одобрить итоговый ранжир заявок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: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5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1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ООО"ЮГЭНЕРГОБАЛАНС"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5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5 213 296,46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без НДС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5"/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6 255 955,75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Н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Д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2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0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%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ind w:left="0" w:right="0" w:firstLine="0"/>
        <w:spacing w:before="0" w:after="0" w:line="195" w:lineRule="atLeast"/>
        <w:rPr>
          <w:rFonts w:ascii="Times New Roman" w:hAnsi="Times New Roman" w:cs="Times New Roman"/>
          <w:sz w:val="23"/>
          <w:szCs w:val="23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2 место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–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ИП  ПАВЛЕНКО ОЛЬГА АЛЕКСЕЕВНА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: 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5 432 803,68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без НДС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jc w:val="left"/>
        <w:rPr>
          <w:rFonts w:ascii="Times New Roman" w:hAnsi="Times New Roman" w:cs="Times New Roman"/>
          <w:sz w:val="23"/>
          <w:szCs w:val="23"/>
          <w:highlight w:val="white"/>
        </w:rPr>
      </w:pP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5 704 443,86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руб. с НДС 5 %</w:t>
      </w:r>
      <w:r>
        <w:rPr>
          <w:rFonts w:ascii="Times New Roman" w:hAnsi="Times New Roman" w:eastAsia="Times New Roman" w:cs="Times New Roman"/>
          <w:sz w:val="23"/>
          <w:szCs w:val="23"/>
          <w:highlight w:val="white"/>
        </w:rPr>
        <w:t xml:space="preserve">;</w:t>
      </w:r>
      <w:r>
        <w:rPr>
          <w:rFonts w:ascii="Times New Roman" w:hAnsi="Times New Roman" w:cs="Times New Roman"/>
          <w:sz w:val="23"/>
          <w:szCs w:val="23"/>
          <w:highlight w:val="white"/>
        </w:rPr>
      </w:r>
      <w:r>
        <w:rPr>
          <w:rFonts w:ascii="Times New Roman" w:hAnsi="Times New Roman" w:cs="Times New Roman"/>
          <w:sz w:val="23"/>
          <w:szCs w:val="23"/>
          <w:highlight w:val="white"/>
        </w:rPr>
      </w:r>
    </w:p>
    <w:p>
      <w:pPr>
        <w:pStyle w:val="965"/>
        <w:jc w:val="left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4.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Признать победителем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3"/>
          <w:szCs w:val="23"/>
          <w:highlight w:val="white"/>
        </w:rPr>
        <w:t xml:space="preserve">ООО"ЮГЭНЕРГОБАЛАНС"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 занявшего первое место по результатам итогового ранжира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,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на условиях извещения, документации о закупке и заявки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sz w:val="23"/>
          <w:szCs w:val="23"/>
        </w:rPr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Итоги голосования:</w:t>
      </w:r>
      <w:r>
        <w:rPr>
          <w:rFonts w:ascii="Times New Roman" w:hAnsi="Times New Roman" w:cs="Times New Roman"/>
          <w:b/>
          <w:i/>
          <w:sz w:val="23"/>
          <w:szCs w:val="23"/>
        </w:rPr>
      </w:r>
      <w:r>
        <w:rPr>
          <w:rFonts w:ascii="Times New Roman" w:hAnsi="Times New Roman" w:cs="Times New Roman"/>
          <w:b/>
          <w:i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За – 6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 голоса (-ов) 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Против – 0 голоса (-ов)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 xml:space="preserve">Воздержался – 0 голоса (-ов)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.</w:t>
      </w:r>
      <w:r>
        <w:rPr>
          <w:rFonts w:ascii="Times New Roman" w:hAnsi="Times New Roman" w:cs="Times New Roman"/>
          <w:sz w:val="23"/>
          <w:szCs w:val="23"/>
        </w:rPr>
      </w:r>
      <w:r>
        <w:rPr>
          <w:rFonts w:ascii="Times New Roman" w:hAnsi="Times New Roman" w:cs="Times New Roman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sz w:val="23"/>
          <w:szCs w:val="23"/>
        </w:rPr>
        <w:t xml:space="preserve">Решение по вопросу принято</w:t>
      </w: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  <w:t xml:space="preserve">.</w:t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eastAsia="Times New Roman" w:cs="Times New Roma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ab/>
      </w:r>
      <w:r>
        <w:rPr>
          <w:rFonts w:ascii="Times New Roman" w:hAnsi="Times New Roman" w:eastAsia="Times New Roman" w:cs="Times New Roman"/>
          <w:sz w:val="23"/>
          <w:szCs w:val="23"/>
        </w:rPr>
      </w:r>
      <w:r>
        <w:rPr>
          <w:rFonts w:ascii="Times New Roman" w:hAnsi="Times New Roman" w:eastAsia="Times New Roman" w:cs="Times New Roman"/>
          <w:sz w:val="23"/>
          <w:szCs w:val="23"/>
        </w:rPr>
      </w:r>
    </w:p>
    <w:p>
      <w:pPr>
        <w:jc w:val="both"/>
        <w:spacing w:before="0" w:after="0"/>
        <w:rPr>
          <w:sz w:val="24"/>
          <w:szCs w:val="24"/>
        </w:rPr>
      </w:pPr>
      <w:r>
        <w:rPr>
          <w:sz w:val="23"/>
          <w:szCs w:val="23"/>
        </w:rPr>
        <w:t xml:space="preserve">Договор по результатам закупки, заключить в течение срока, установленного нормами Единого стандарта закупок ПАО «Россети» (Положение о закупке). При необходимости одобрения Общего собрания акционеров/Совета директоров/Правления </w:t>
      </w:r>
      <w:r>
        <w:rPr>
          <w:sz w:val="23"/>
          <w:szCs w:val="23"/>
        </w:rPr>
        <w:t xml:space="preserve">ПАО</w:t>
      </w:r>
      <w:r>
        <w:rPr>
          <w:sz w:val="23"/>
          <w:szCs w:val="23"/>
        </w:rPr>
        <w:t xml:space="preserve"> «Россети </w:t>
      </w:r>
      <w:r>
        <w:rPr>
          <w:sz w:val="23"/>
          <w:szCs w:val="23"/>
        </w:rPr>
        <w:t xml:space="preserve">ЮГ</w:t>
      </w:r>
      <w:r>
        <w:rPr>
          <w:sz w:val="23"/>
          <w:szCs w:val="23"/>
        </w:rPr>
        <w:t xml:space="preserve">» в соответствии с законодательством Российской Федерации заключения договора или в случае обжалования в антимонопольном органе либо в судебном порядке действий (бездействия) Заказчика, </w:t>
      </w:r>
      <w:r>
        <w:rPr>
          <w:sz w:val="23"/>
          <w:szCs w:val="23"/>
        </w:rPr>
        <w:t xml:space="preserve">Закупочной</w:t>
      </w:r>
      <w:r>
        <w:rPr>
          <w:sz w:val="23"/>
          <w:szCs w:val="23"/>
        </w:rPr>
        <w:t xml:space="preserve"> комиссии, опера</w:t>
      </w:r>
      <w:r>
        <w:rPr>
          <w:sz w:val="23"/>
          <w:szCs w:val="23"/>
        </w:rPr>
        <w:t xml:space="preserve">тора электронной площадки договор должен быть заключен после принятия соответствующего решения (одобрения, вынесения решения по жалобе, иску). Разместить договор в Единой информационной системе в сфере закупок в течение трех рабочих дней со дня заключения.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5"/>
        <w:jc w:val="both"/>
        <w:tabs>
          <w:tab w:val="left" w:pos="426" w:leader="none"/>
        </w:tabs>
        <w:rPr>
          <w:rFonts w:ascii="Times New Roman" w:hAnsi="Times New Roman" w:cs="Times New Roman"/>
          <w:b/>
          <w:i/>
          <w:color w:val="000000"/>
          <w:sz w:val="23"/>
          <w:szCs w:val="23"/>
        </w:rPr>
        <w:outlineLvl w:val="1"/>
      </w:pPr>
      <w:r>
        <w:rPr>
          <w:rFonts w:ascii="Times New Roman" w:hAnsi="Times New Roman" w:eastAsia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  <w:r>
        <w:rPr>
          <w:rFonts w:ascii="Times New Roman" w:hAnsi="Times New Roman" w:cs="Times New Roman"/>
          <w:b/>
          <w:i/>
          <w:color w:val="000000"/>
          <w:sz w:val="23"/>
          <w:szCs w:val="23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839"/>
        <w:gridCol w:w="3132"/>
      </w:tblGrid>
      <w:tr>
        <w:tblPrEx/>
        <w:trPr>
          <w:tblCellSpacing w:w="15" w:type="dxa"/>
          <w:trHeight w:val="427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5"/>
              <w:jc w:val="both"/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</w:rPr>
              <w:t xml:space="preserve">Председатель ПДЗК: </w:t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none"/>
              </w:rPr>
            </w:r>
          </w:p>
          <w:p>
            <w:pPr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3"/>
                <w:szCs w:val="23"/>
                <w:highlight w:val="none"/>
              </w:rPr>
            </w:r>
            <w:r>
              <w:rPr>
                <w:bCs/>
                <w:color w:val="000000"/>
                <w:sz w:val="23"/>
                <w:szCs w:val="23"/>
              </w:rPr>
              <w:t xml:space="preserve">В.А. Коржаневский.</w:t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color w:val="000000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5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30" w:type="pct"/>
            <w:vAlign w:val="center"/>
            <w:textDirection w:val="lrTb"/>
            <w:noWrap w:val="false"/>
          </w:tcPr>
          <w:p>
            <w:pPr>
              <w:pStyle w:val="965"/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Ответственный секретарь ПДЗК (без права голоса): </w:t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</w:p>
          <w:p>
            <w:pPr>
              <w:pStyle w:val="965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  <w:t xml:space="preserve">А.Н. Гостева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  <w:p>
            <w:pPr>
              <w:pStyle w:val="965"/>
              <w:rPr>
                <w:rFonts w:ascii="Times New Roman" w:hAnsi="Times New Roman" w:cs="Times New Roman"/>
                <w:i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i/>
                <w:sz w:val="23"/>
                <w:szCs w:val="23"/>
              </w:rPr>
            </w:r>
            <w:r>
              <w:rPr>
                <w:rFonts w:ascii="Times New Roman" w:hAnsi="Times New Roman" w:cs="Times New Roman"/>
                <w:i/>
                <w:sz w:val="23"/>
                <w:szCs w:val="23"/>
              </w:rPr>
            </w:r>
            <w:r>
              <w:rPr>
                <w:rFonts w:ascii="Times New Roman" w:hAnsi="Times New Roman" w:cs="Times New Roman"/>
                <w:i/>
                <w:sz w:val="23"/>
                <w:szCs w:val="23"/>
              </w:rPr>
            </w:r>
          </w:p>
          <w:p>
            <w:pPr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  <w:highlight w:val="none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65"/>
              <w:rPr>
                <w:rFonts w:ascii="Times New Roman" w:hAnsi="Times New Roman" w:cs="Times New Roman"/>
                <w:sz w:val="23"/>
                <w:szCs w:val="23"/>
              </w:rPr>
            </w:pPr>
            <w:r>
              <w:rPr>
                <w:rFonts w:ascii="Times New Roman" w:hAnsi="Times New Roman" w:eastAsia="Times New Roman" w:cs="Times New Roman"/>
                <w:sz w:val="23"/>
                <w:szCs w:val="23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  <w:r>
              <w:rPr>
                <w:rFonts w:ascii="Times New Roman" w:hAnsi="Times New Roman" w:cs="Times New Roman"/>
                <w:sz w:val="23"/>
                <w:szCs w:val="23"/>
              </w:rPr>
            </w:r>
          </w:p>
        </w:tc>
      </w:tr>
    </w:tbl>
    <w:p>
      <w:pPr>
        <w:pStyle w:val="965"/>
        <w:rPr>
          <w:bCs/>
          <w:i/>
          <w:highlight w:val="none"/>
        </w:rPr>
      </w:pPr>
      <w:r>
        <w:rPr>
          <w:i/>
          <w:szCs w:val="23"/>
        </w:rPr>
        <w:t xml:space="preserve">А.В. Жуковина</w:t>
      </w:r>
      <w:r>
        <w:rPr>
          <w:i/>
          <w:szCs w:val="23"/>
        </w:rPr>
        <w:t xml:space="preserve">, 8 (861) 212-2</w:t>
      </w:r>
      <w:r>
        <w:rPr>
          <w:i/>
          <w:szCs w:val="23"/>
        </w:rPr>
        <w:t xml:space="preserve">5-67</w:t>
      </w:r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sectPr>
      <w:footerReference w:type="default" r:id="rId9"/>
      <w:footnotePr/>
      <w:endnotePr/>
      <w:type w:val="nextPage"/>
      <w:pgSz w:w="11906" w:h="16838" w:orient="portrait"/>
      <w:pgMar w:top="709" w:right="707" w:bottom="1247" w:left="851" w:header="709" w:footer="382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89"/>
      <w:jc w:val="center"/>
      <w:rPr>
        <w:rFonts w:ascii="Times New Roman" w:hAnsi="Times New Roman" w:cs="Times New Roman"/>
        <w:b w:val="0"/>
        <w:bCs w:val="0"/>
        <w:i/>
        <w:iCs/>
        <w:sz w:val="18"/>
        <w:szCs w:val="18"/>
      </w:rPr>
    </w:pP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П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РОТОКОЛ ЗАСЕДАНИЯ  ПОСТОЯННО ДЕЙСТВУЮЩЕЙ ЗАКУПОЧНОЙ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КОМИ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СС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ИИ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№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32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1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4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8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5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1</w:t>
    </w:r>
    <w:r>
      <w:rPr>
        <w:rFonts w:ascii="Times New Roman" w:hAnsi="Times New Roman" w:eastAsia="Times New Roman" w:cs="Times New Roman"/>
        <w:b w:val="0"/>
        <w:bCs w:val="0"/>
        <w:i/>
        <w:iCs/>
        <w:color w:val="000000"/>
        <w:sz w:val="18"/>
        <w:szCs w:val="18"/>
        <w:highlight w:val="white"/>
      </w:rPr>
      <w:t xml:space="preserve">7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/</w:t>
    </w:r>
    <w:r>
      <w:rPr>
        <w:rFonts w:ascii="Times New Roman" w:hAnsi="Times New Roman" w:eastAsia="Times New Roman" w:cs="Times New Roman"/>
        <w:b w:val="0"/>
        <w:bCs w:val="0"/>
        <w:i/>
        <w:iCs/>
        <w:sz w:val="18"/>
        <w:szCs w:val="18"/>
      </w:rPr>
      <w:t xml:space="preserve">1</w:t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  <w:r>
      <w:rPr>
        <w:rFonts w:ascii="Times New Roman" w:hAnsi="Times New Roman" w:cs="Times New Roman"/>
        <w:b w:val="0"/>
        <w:bCs w:val="0"/>
        <w:i/>
        <w:iCs/>
        <w:sz w:val="18"/>
        <w:szCs w:val="18"/>
      </w:rPr>
    </w:r>
  </w:p>
  <w:p>
    <w:pPr>
      <w:pStyle w:val="975"/>
      <w:jc w:val="right"/>
      <w:rPr>
        <w:i/>
        <w:sz w:val="18"/>
        <w:szCs w:val="18"/>
      </w:rPr>
    </w:pPr>
    <w:r>
      <w:rPr>
        <w:b w:val="0"/>
        <w:bCs w:val="0"/>
        <w:i/>
        <w:sz w:val="18"/>
        <w:szCs w:val="18"/>
      </w:rPr>
      <w:t xml:space="preserve"> </w:t>
    </w:r>
    <w:r>
      <w:rPr>
        <w:b w:val="0"/>
        <w:bCs w:val="0"/>
        <w:i/>
        <w:sz w:val="18"/>
        <w:szCs w:val="18"/>
      </w:rPr>
      <w:t xml:space="preserve">Стра</w:t>
    </w:r>
    <w:r>
      <w:rPr>
        <w:i/>
      </w:rPr>
      <w:t xml:space="preserve">ница </w:t>
    </w:r>
    <w:r>
      <w:rPr>
        <w:bCs/>
        <w:i/>
      </w:rPr>
      <w:fldChar w:fldCharType="begin"/>
    </w:r>
    <w:r>
      <w:rPr>
        <w:bCs/>
        <w:i/>
      </w:rPr>
      <w:instrText xml:space="preserve">PAGE</w:instrText>
    </w:r>
    <w:r>
      <w:rPr>
        <w:bCs/>
        <w:i/>
      </w:rPr>
      <w:fldChar w:fldCharType="separate"/>
    </w:r>
    <w:r>
      <w:rPr>
        <w:bCs/>
        <w:i/>
      </w:rPr>
      <w:t xml:space="preserve">1</w:t>
    </w:r>
    <w:r>
      <w:rPr>
        <w:bCs/>
        <w:i/>
      </w:rPr>
      <w:fldChar w:fldCharType="end"/>
    </w:r>
    <w:r>
      <w:rPr>
        <w:i/>
      </w:rPr>
      <w:t xml:space="preserve"> из </w:t>
    </w:r>
    <w:r>
      <w:rPr>
        <w:i/>
      </w:rPr>
      <w:t xml:space="preserve">2</w:t>
    </w:r>
    <w:r>
      <w:rPr>
        <w:i/>
        <w:sz w:val="18"/>
        <w:szCs w:val="18"/>
      </w:rPr>
    </w:r>
    <w:r>
      <w:rPr>
        <w:i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475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</w:pPr>
      <w:rPr>
        <w:b/>
        <w:i/>
      </w:rPr>
    </w:lvl>
    <w:lvl w:ilvl="1">
      <w:start w:val="1"/>
      <w:numFmt w:val="lowerLetter"/>
      <w:isLgl w:val="false"/>
      <w:suff w:val="tab"/>
      <w:lvlText w:val="%2."/>
      <w:lvlJc w:val="left"/>
      <w:pPr>
        <w:ind w:left="108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180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52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24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396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468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40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120" w:hanging="180"/>
      </w:pPr>
    </w:lvl>
  </w:abstractNum>
  <w:abstractNum w:abstractNumId="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440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3"/>
      <w:numFmt w:val="decimal"/>
      <w:isLgl w:val="false"/>
      <w:suff w:val="tab"/>
      <w:lvlText w:val="%1"/>
      <w:lvlJc w:val="left"/>
      <w:pPr>
        <w:ind w:left="786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506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226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946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66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86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106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826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546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145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5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5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5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5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5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5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5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5" w:hanging="360"/>
      </w:pPr>
      <w:rPr>
        <w:rFonts w:ascii="Wingdings" w:hAnsi="Wingdings"/>
      </w:r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146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66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86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306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026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746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66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86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906" w:hanging="360"/>
      </w:pPr>
      <w:rPr>
        <w:rFonts w:ascii="Wingdings" w:hAnsi="Wingdings"/>
      </w:rPr>
    </w:lvl>
  </w:abstractNum>
  <w:abstractNum w:abstractNumId="2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ascii="Symbol" w:hAnsi="Symbol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85" w:hanging="360"/>
      </w:pPr>
      <w:rPr>
        <w:rFonts w:ascii="Symbol" w:hAnsi="Symbol"/>
        <w:color w:val="00000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  <w:color w:val="00000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7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72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8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3272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24"/>
  </w:num>
  <w:num w:numId="6">
    <w:abstractNumId w:val="28"/>
  </w:num>
  <w:num w:numId="7">
    <w:abstractNumId w:val="7"/>
  </w:num>
  <w:num w:numId="8">
    <w:abstractNumId w:val="17"/>
  </w:num>
  <w:num w:numId="9">
    <w:abstractNumId w:val="9"/>
  </w:num>
  <w:num w:numId="10">
    <w:abstractNumId w:val="26"/>
  </w:num>
  <w:num w:numId="11">
    <w:abstractNumId w:val="19"/>
  </w:num>
  <w:num w:numId="12">
    <w:abstractNumId w:val="13"/>
  </w:num>
  <w:num w:numId="13">
    <w:abstractNumId w:val="20"/>
  </w:num>
  <w:num w:numId="14">
    <w:abstractNumId w:val="4"/>
  </w:num>
  <w:num w:numId="15">
    <w:abstractNumId w:val="15"/>
  </w:num>
  <w:num w:numId="16">
    <w:abstractNumId w:val="6"/>
  </w:num>
  <w:num w:numId="17">
    <w:abstractNumId w:val="14"/>
  </w:num>
  <w:num w:numId="18">
    <w:abstractNumId w:val="26"/>
  </w:num>
  <w:num w:numId="19">
    <w:abstractNumId w:val="8"/>
  </w:num>
  <w:num w:numId="20">
    <w:abstractNumId w:val="12"/>
  </w:num>
  <w:num w:numId="21">
    <w:abstractNumId w:val="23"/>
  </w:num>
  <w:num w:numId="22">
    <w:abstractNumId w:val="25"/>
  </w:num>
  <w:num w:numId="23">
    <w:abstractNumId w:val="2"/>
  </w:num>
  <w:num w:numId="24">
    <w:abstractNumId w:val="16"/>
  </w:num>
  <w:num w:numId="25">
    <w:abstractNumId w:val="18"/>
  </w:num>
  <w:num w:numId="26">
    <w:abstractNumId w:val="22"/>
  </w:num>
  <w:num w:numId="27">
    <w:abstractNumId w:val="1"/>
  </w:num>
  <w:num w:numId="28">
    <w:abstractNumId w:val="5"/>
  </w:num>
  <w:num w:numId="29">
    <w:abstractNumId w:val="27"/>
  </w:num>
  <w:num w:numId="30">
    <w:abstractNumId w:val="21"/>
  </w:num>
  <w:num w:numId="31">
    <w:abstractNumId w:val="29"/>
  </w:num>
  <w:num w:numId="32">
    <w:abstractNumId w:val="11"/>
  </w:num>
  <w:num w:numId="33">
    <w:abstractNumId w:val="3"/>
  </w:num>
  <w:num w:numId="34">
    <w:abstractNumId w:val="10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  <w:num w:numId="39">
    <w:abstractNumId w:val="34"/>
  </w:num>
  <w:num w:numId="40">
    <w:abstractNumId w:val="35"/>
  </w:num>
  <w:num w:numId="41">
    <w:abstractNumId w:val="36"/>
  </w:num>
  <w:num w:numId="42">
    <w:abstractNumId w:val="37"/>
  </w:num>
  <w:num w:numId="43">
    <w:abstractNumId w:val="38"/>
  </w:num>
  <w:num w:numId="4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87">
    <w:name w:val="Heading 1"/>
    <w:basedOn w:val="965"/>
    <w:next w:val="965"/>
    <w:link w:val="788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88">
    <w:name w:val="Heading 1 Char"/>
    <w:link w:val="787"/>
    <w:uiPriority w:val="9"/>
    <w:rPr>
      <w:rFonts w:ascii="Arial" w:hAnsi="Arial" w:eastAsia="Arial" w:cs="Arial"/>
      <w:sz w:val="40"/>
      <w:szCs w:val="40"/>
    </w:rPr>
  </w:style>
  <w:style w:type="paragraph" w:styleId="789">
    <w:name w:val="Heading 2"/>
    <w:basedOn w:val="965"/>
    <w:next w:val="965"/>
    <w:link w:val="790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90">
    <w:name w:val="Heading 2 Char"/>
    <w:link w:val="789"/>
    <w:uiPriority w:val="9"/>
    <w:rPr>
      <w:rFonts w:ascii="Arial" w:hAnsi="Arial" w:eastAsia="Arial" w:cs="Arial"/>
      <w:sz w:val="34"/>
    </w:rPr>
  </w:style>
  <w:style w:type="paragraph" w:styleId="791">
    <w:name w:val="Heading 3"/>
    <w:basedOn w:val="965"/>
    <w:next w:val="965"/>
    <w:link w:val="792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92">
    <w:name w:val="Heading 3 Char"/>
    <w:link w:val="791"/>
    <w:uiPriority w:val="9"/>
    <w:rPr>
      <w:rFonts w:ascii="Arial" w:hAnsi="Arial" w:eastAsia="Arial" w:cs="Arial"/>
      <w:sz w:val="30"/>
      <w:szCs w:val="30"/>
    </w:rPr>
  </w:style>
  <w:style w:type="paragraph" w:styleId="793">
    <w:name w:val="Heading 4"/>
    <w:basedOn w:val="965"/>
    <w:next w:val="965"/>
    <w:link w:val="794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94">
    <w:name w:val="Heading 4 Char"/>
    <w:link w:val="793"/>
    <w:uiPriority w:val="9"/>
    <w:rPr>
      <w:rFonts w:ascii="Arial" w:hAnsi="Arial" w:eastAsia="Arial" w:cs="Arial"/>
      <w:b/>
      <w:bCs/>
      <w:sz w:val="26"/>
      <w:szCs w:val="26"/>
    </w:rPr>
  </w:style>
  <w:style w:type="paragraph" w:styleId="795">
    <w:name w:val="Heading 5"/>
    <w:basedOn w:val="965"/>
    <w:next w:val="965"/>
    <w:link w:val="796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96">
    <w:name w:val="Heading 5 Char"/>
    <w:link w:val="795"/>
    <w:uiPriority w:val="9"/>
    <w:rPr>
      <w:rFonts w:ascii="Arial" w:hAnsi="Arial" w:eastAsia="Arial" w:cs="Arial"/>
      <w:b/>
      <w:bCs/>
      <w:sz w:val="24"/>
      <w:szCs w:val="24"/>
    </w:rPr>
  </w:style>
  <w:style w:type="paragraph" w:styleId="797">
    <w:name w:val="Heading 6"/>
    <w:basedOn w:val="965"/>
    <w:next w:val="965"/>
    <w:link w:val="798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98">
    <w:name w:val="Heading 6 Char"/>
    <w:link w:val="797"/>
    <w:uiPriority w:val="9"/>
    <w:rPr>
      <w:rFonts w:ascii="Arial" w:hAnsi="Arial" w:eastAsia="Arial" w:cs="Arial"/>
      <w:b/>
      <w:bCs/>
      <w:sz w:val="22"/>
      <w:szCs w:val="22"/>
    </w:rPr>
  </w:style>
  <w:style w:type="paragraph" w:styleId="799">
    <w:name w:val="Heading 7"/>
    <w:basedOn w:val="965"/>
    <w:next w:val="965"/>
    <w:link w:val="800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800">
    <w:name w:val="Heading 7 Char"/>
    <w:link w:val="799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801">
    <w:name w:val="Heading 8"/>
    <w:basedOn w:val="965"/>
    <w:next w:val="965"/>
    <w:link w:val="802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802">
    <w:name w:val="Heading 8 Char"/>
    <w:link w:val="801"/>
    <w:uiPriority w:val="9"/>
    <w:rPr>
      <w:rFonts w:ascii="Arial" w:hAnsi="Arial" w:eastAsia="Arial" w:cs="Arial"/>
      <w:i/>
      <w:iCs/>
      <w:sz w:val="22"/>
      <w:szCs w:val="22"/>
    </w:rPr>
  </w:style>
  <w:style w:type="paragraph" w:styleId="803">
    <w:name w:val="Heading 9"/>
    <w:basedOn w:val="965"/>
    <w:next w:val="965"/>
    <w:link w:val="80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804">
    <w:name w:val="Heading 9 Char"/>
    <w:link w:val="803"/>
    <w:uiPriority w:val="9"/>
    <w:rPr>
      <w:rFonts w:ascii="Arial" w:hAnsi="Arial" w:eastAsia="Arial" w:cs="Arial"/>
      <w:i/>
      <w:iCs/>
      <w:sz w:val="21"/>
      <w:szCs w:val="21"/>
    </w:rPr>
  </w:style>
  <w:style w:type="paragraph" w:styleId="805">
    <w:name w:val="List Paragraph"/>
    <w:basedOn w:val="965"/>
    <w:uiPriority w:val="34"/>
    <w:qFormat/>
    <w:pPr>
      <w:contextualSpacing/>
      <w:ind w:left="720"/>
    </w:pPr>
  </w:style>
  <w:style w:type="paragraph" w:styleId="806">
    <w:name w:val="No Spacing"/>
    <w:uiPriority w:val="1"/>
    <w:qFormat/>
    <w:pPr>
      <w:spacing w:before="0" w:after="0" w:line="240" w:lineRule="auto"/>
    </w:pPr>
  </w:style>
  <w:style w:type="paragraph" w:styleId="807">
    <w:name w:val="Title"/>
    <w:basedOn w:val="965"/>
    <w:next w:val="965"/>
    <w:link w:val="808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08">
    <w:name w:val="Title Char"/>
    <w:link w:val="807"/>
    <w:uiPriority w:val="10"/>
    <w:rPr>
      <w:sz w:val="48"/>
      <w:szCs w:val="48"/>
    </w:rPr>
  </w:style>
  <w:style w:type="paragraph" w:styleId="809">
    <w:name w:val="Subtitle"/>
    <w:basedOn w:val="965"/>
    <w:next w:val="965"/>
    <w:link w:val="810"/>
    <w:uiPriority w:val="11"/>
    <w:qFormat/>
    <w:pPr>
      <w:spacing w:before="200" w:after="200"/>
    </w:pPr>
    <w:rPr>
      <w:sz w:val="24"/>
      <w:szCs w:val="24"/>
    </w:rPr>
  </w:style>
  <w:style w:type="character" w:styleId="810">
    <w:name w:val="Subtitle Char"/>
    <w:link w:val="809"/>
    <w:uiPriority w:val="11"/>
    <w:rPr>
      <w:sz w:val="24"/>
      <w:szCs w:val="24"/>
    </w:rPr>
  </w:style>
  <w:style w:type="paragraph" w:styleId="811">
    <w:name w:val="Quote"/>
    <w:basedOn w:val="965"/>
    <w:next w:val="965"/>
    <w:link w:val="812"/>
    <w:uiPriority w:val="29"/>
    <w:qFormat/>
    <w:pPr>
      <w:ind w:left="720" w:right="720"/>
    </w:pPr>
    <w:rPr>
      <w:i/>
    </w:rPr>
  </w:style>
  <w:style w:type="character" w:styleId="812">
    <w:name w:val="Quote Char"/>
    <w:link w:val="811"/>
    <w:uiPriority w:val="29"/>
    <w:rPr>
      <w:i/>
    </w:rPr>
  </w:style>
  <w:style w:type="paragraph" w:styleId="813">
    <w:name w:val="Intense Quote"/>
    <w:basedOn w:val="965"/>
    <w:next w:val="965"/>
    <w:link w:val="814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14">
    <w:name w:val="Intense Quote Char"/>
    <w:link w:val="813"/>
    <w:uiPriority w:val="30"/>
    <w:rPr>
      <w:i/>
    </w:rPr>
  </w:style>
  <w:style w:type="paragraph" w:styleId="815">
    <w:name w:val="Header"/>
    <w:basedOn w:val="965"/>
    <w:link w:val="81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6">
    <w:name w:val="Header Char"/>
    <w:link w:val="815"/>
    <w:uiPriority w:val="99"/>
  </w:style>
  <w:style w:type="paragraph" w:styleId="817">
    <w:name w:val="Footer"/>
    <w:basedOn w:val="965"/>
    <w:link w:val="818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818">
    <w:name w:val="Footer Char"/>
    <w:link w:val="817"/>
    <w:uiPriority w:val="99"/>
  </w:style>
  <w:style w:type="paragraph" w:styleId="819">
    <w:name w:val="Caption"/>
    <w:basedOn w:val="965"/>
    <w:next w:val="965"/>
    <w:link w:val="82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0">
    <w:name w:val="Caption Char"/>
    <w:link w:val="819"/>
    <w:uiPriority w:val="35"/>
    <w:rPr>
      <w:b/>
      <w:bCs/>
      <w:color w:val="4f81bd" w:themeColor="accent1"/>
      <w:sz w:val="18"/>
      <w:szCs w:val="18"/>
    </w:rPr>
  </w:style>
  <w:style w:type="table" w:styleId="821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2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23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4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825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26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28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0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51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52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53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54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55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6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7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8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59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60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61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62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63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64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65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66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67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68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69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70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3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4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5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6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85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86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87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88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89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90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91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2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3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4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5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6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7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6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7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8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09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0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1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912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913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914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915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916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917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918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919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920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921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922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923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924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925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926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27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28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29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0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1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2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33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34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35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36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37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38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39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40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41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42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43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44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45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46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47">
    <w:name w:val="Hyperlink"/>
    <w:uiPriority w:val="99"/>
    <w:unhideWhenUsed/>
    <w:rPr>
      <w:color w:val="0000ff" w:themeColor="hyperlink"/>
      <w:u w:val="single"/>
    </w:rPr>
  </w:style>
  <w:style w:type="paragraph" w:styleId="948">
    <w:name w:val="footnote text"/>
    <w:basedOn w:val="965"/>
    <w:link w:val="949"/>
    <w:uiPriority w:val="99"/>
    <w:semiHidden/>
    <w:unhideWhenUsed/>
    <w:pPr>
      <w:spacing w:after="40" w:line="240" w:lineRule="auto"/>
    </w:pPr>
    <w:rPr>
      <w:sz w:val="18"/>
    </w:rPr>
  </w:style>
  <w:style w:type="character" w:styleId="949">
    <w:name w:val="Footnote Text Char"/>
    <w:link w:val="948"/>
    <w:uiPriority w:val="99"/>
    <w:rPr>
      <w:sz w:val="18"/>
    </w:rPr>
  </w:style>
  <w:style w:type="character" w:styleId="950">
    <w:name w:val="footnote reference"/>
    <w:uiPriority w:val="99"/>
    <w:unhideWhenUsed/>
    <w:rPr>
      <w:vertAlign w:val="superscript"/>
    </w:rPr>
  </w:style>
  <w:style w:type="paragraph" w:styleId="951">
    <w:name w:val="endnote text"/>
    <w:basedOn w:val="965"/>
    <w:link w:val="952"/>
    <w:uiPriority w:val="99"/>
    <w:semiHidden/>
    <w:unhideWhenUsed/>
    <w:pPr>
      <w:spacing w:after="0" w:line="240" w:lineRule="auto"/>
    </w:pPr>
    <w:rPr>
      <w:sz w:val="20"/>
    </w:rPr>
  </w:style>
  <w:style w:type="character" w:styleId="952">
    <w:name w:val="Endnote Text Char"/>
    <w:link w:val="951"/>
    <w:uiPriority w:val="99"/>
    <w:rPr>
      <w:sz w:val="20"/>
    </w:rPr>
  </w:style>
  <w:style w:type="character" w:styleId="953">
    <w:name w:val="endnote reference"/>
    <w:uiPriority w:val="99"/>
    <w:semiHidden/>
    <w:unhideWhenUsed/>
    <w:rPr>
      <w:vertAlign w:val="superscript"/>
    </w:rPr>
  </w:style>
  <w:style w:type="paragraph" w:styleId="954">
    <w:name w:val="toc 1"/>
    <w:basedOn w:val="965"/>
    <w:next w:val="965"/>
    <w:uiPriority w:val="39"/>
    <w:unhideWhenUsed/>
    <w:pPr>
      <w:ind w:left="0" w:right="0" w:firstLine="0"/>
      <w:spacing w:after="57"/>
    </w:pPr>
  </w:style>
  <w:style w:type="paragraph" w:styleId="955">
    <w:name w:val="toc 2"/>
    <w:basedOn w:val="965"/>
    <w:next w:val="965"/>
    <w:uiPriority w:val="39"/>
    <w:unhideWhenUsed/>
    <w:pPr>
      <w:ind w:left="283" w:right="0" w:firstLine="0"/>
      <w:spacing w:after="57"/>
    </w:pPr>
  </w:style>
  <w:style w:type="paragraph" w:styleId="956">
    <w:name w:val="toc 3"/>
    <w:basedOn w:val="965"/>
    <w:next w:val="965"/>
    <w:uiPriority w:val="39"/>
    <w:unhideWhenUsed/>
    <w:pPr>
      <w:ind w:left="567" w:right="0" w:firstLine="0"/>
      <w:spacing w:after="57"/>
    </w:pPr>
  </w:style>
  <w:style w:type="paragraph" w:styleId="957">
    <w:name w:val="toc 4"/>
    <w:basedOn w:val="965"/>
    <w:next w:val="965"/>
    <w:uiPriority w:val="39"/>
    <w:unhideWhenUsed/>
    <w:pPr>
      <w:ind w:left="850" w:right="0" w:firstLine="0"/>
      <w:spacing w:after="57"/>
    </w:pPr>
  </w:style>
  <w:style w:type="paragraph" w:styleId="958">
    <w:name w:val="toc 5"/>
    <w:basedOn w:val="965"/>
    <w:next w:val="965"/>
    <w:uiPriority w:val="39"/>
    <w:unhideWhenUsed/>
    <w:pPr>
      <w:ind w:left="1134" w:right="0" w:firstLine="0"/>
      <w:spacing w:after="57"/>
    </w:pPr>
  </w:style>
  <w:style w:type="paragraph" w:styleId="959">
    <w:name w:val="toc 6"/>
    <w:basedOn w:val="965"/>
    <w:next w:val="965"/>
    <w:uiPriority w:val="39"/>
    <w:unhideWhenUsed/>
    <w:pPr>
      <w:ind w:left="1417" w:right="0" w:firstLine="0"/>
      <w:spacing w:after="57"/>
    </w:pPr>
  </w:style>
  <w:style w:type="paragraph" w:styleId="960">
    <w:name w:val="toc 7"/>
    <w:basedOn w:val="965"/>
    <w:next w:val="965"/>
    <w:uiPriority w:val="39"/>
    <w:unhideWhenUsed/>
    <w:pPr>
      <w:ind w:left="1701" w:right="0" w:firstLine="0"/>
      <w:spacing w:after="57"/>
    </w:pPr>
  </w:style>
  <w:style w:type="paragraph" w:styleId="961">
    <w:name w:val="toc 8"/>
    <w:basedOn w:val="965"/>
    <w:next w:val="965"/>
    <w:uiPriority w:val="39"/>
    <w:unhideWhenUsed/>
    <w:pPr>
      <w:ind w:left="1984" w:right="0" w:firstLine="0"/>
      <w:spacing w:after="57"/>
    </w:pPr>
  </w:style>
  <w:style w:type="paragraph" w:styleId="962">
    <w:name w:val="toc 9"/>
    <w:basedOn w:val="965"/>
    <w:next w:val="965"/>
    <w:uiPriority w:val="39"/>
    <w:unhideWhenUsed/>
    <w:pPr>
      <w:ind w:left="2268" w:right="0" w:firstLine="0"/>
      <w:spacing w:after="57"/>
    </w:pPr>
  </w:style>
  <w:style w:type="paragraph" w:styleId="963">
    <w:name w:val="TOC Heading"/>
    <w:uiPriority w:val="39"/>
    <w:unhideWhenUsed/>
  </w:style>
  <w:style w:type="paragraph" w:styleId="964">
    <w:name w:val="table of figures"/>
    <w:basedOn w:val="965"/>
    <w:next w:val="965"/>
    <w:uiPriority w:val="99"/>
    <w:unhideWhenUsed/>
    <w:pPr>
      <w:spacing w:after="0" w:afterAutospacing="0"/>
    </w:pPr>
  </w:style>
  <w:style w:type="paragraph" w:styleId="965" w:default="1">
    <w:name w:val="Normal"/>
    <w:next w:val="965"/>
    <w:link w:val="965"/>
    <w:qFormat/>
    <w:rPr>
      <w:lang w:val="ru-RU" w:eastAsia="ru-RU" w:bidi="ar-SA"/>
    </w:rPr>
  </w:style>
  <w:style w:type="paragraph" w:styleId="966">
    <w:name w:val="Заголовок 2"/>
    <w:basedOn w:val="965"/>
    <w:next w:val="966"/>
    <w:link w:val="998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styleId="967">
    <w:name w:val="Основной шрифт абзаца"/>
    <w:next w:val="967"/>
    <w:link w:val="965"/>
    <w:uiPriority w:val="1"/>
    <w:unhideWhenUsed/>
  </w:style>
  <w:style w:type="table" w:styleId="968">
    <w:name w:val="Обычная таблица"/>
    <w:next w:val="968"/>
    <w:link w:val="965"/>
    <w:uiPriority w:val="99"/>
    <w:semiHidden/>
    <w:unhideWhenUsed/>
    <w:tblPr/>
  </w:style>
  <w:style w:type="numbering" w:styleId="969">
    <w:name w:val="Нет списка"/>
    <w:next w:val="969"/>
    <w:link w:val="965"/>
    <w:uiPriority w:val="99"/>
    <w:semiHidden/>
    <w:unhideWhenUsed/>
  </w:style>
  <w:style w:type="paragraph" w:styleId="970">
    <w:name w:val="Название"/>
    <w:basedOn w:val="965"/>
    <w:next w:val="970"/>
    <w:link w:val="971"/>
    <w:uiPriority w:val="99"/>
    <w:qFormat/>
    <w:pPr>
      <w:jc w:val="center"/>
    </w:pPr>
    <w:rPr>
      <w:rFonts w:ascii="Cambria" w:hAnsi="Cambria"/>
      <w:b/>
      <w:bCs/>
      <w:sz w:val="32"/>
      <w:szCs w:val="32"/>
    </w:rPr>
  </w:style>
  <w:style w:type="character" w:styleId="971">
    <w:name w:val="Название Знак"/>
    <w:next w:val="971"/>
    <w:link w:val="970"/>
    <w:uiPriority w:val="99"/>
    <w:rPr>
      <w:rFonts w:ascii="Cambria" w:hAnsi="Cambria" w:cs="Times New Roman"/>
      <w:b/>
      <w:bCs/>
      <w:sz w:val="32"/>
      <w:szCs w:val="32"/>
    </w:rPr>
  </w:style>
  <w:style w:type="paragraph" w:styleId="972">
    <w:name w:val="Основной текст с отступом"/>
    <w:basedOn w:val="965"/>
    <w:next w:val="972"/>
    <w:link w:val="973"/>
    <w:uiPriority w:val="99"/>
    <w:pPr>
      <w:ind w:firstLine="567"/>
      <w:jc w:val="both"/>
    </w:pPr>
    <w:rPr>
      <w:sz w:val="24"/>
    </w:rPr>
  </w:style>
  <w:style w:type="character" w:styleId="973">
    <w:name w:val="Основной текст с отступом Знак"/>
    <w:next w:val="973"/>
    <w:link w:val="972"/>
    <w:uiPriority w:val="99"/>
    <w:rPr>
      <w:rFonts w:cs="Times New Roman"/>
      <w:sz w:val="24"/>
    </w:rPr>
  </w:style>
  <w:style w:type="paragraph" w:styleId="974">
    <w:name w:val="Обычный1"/>
    <w:next w:val="974"/>
    <w:link w:val="965"/>
    <w:uiPriority w:val="99"/>
    <w:pPr>
      <w:ind w:firstLine="567"/>
      <w:jc w:val="both"/>
      <w:spacing w:before="120" w:after="120" w:line="360" w:lineRule="atLeast"/>
      <w:widowControl w:val="off"/>
    </w:pPr>
    <w:rPr>
      <w:sz w:val="24"/>
      <w:lang w:val="ru-RU" w:eastAsia="ru-RU" w:bidi="ar-SA"/>
    </w:rPr>
  </w:style>
  <w:style w:type="paragraph" w:styleId="975">
    <w:name w:val="Нижний колонтитул"/>
    <w:basedOn w:val="965"/>
    <w:next w:val="975"/>
    <w:link w:val="976"/>
    <w:uiPriority w:val="99"/>
    <w:pPr>
      <w:tabs>
        <w:tab w:val="center" w:pos="4677" w:leader="none"/>
        <w:tab w:val="right" w:pos="9355" w:leader="none"/>
      </w:tabs>
    </w:pPr>
  </w:style>
  <w:style w:type="character" w:styleId="976">
    <w:name w:val="Нижний колонтитул Знак"/>
    <w:next w:val="976"/>
    <w:link w:val="975"/>
    <w:uiPriority w:val="99"/>
    <w:rPr>
      <w:rFonts w:cs="Times New Roman"/>
      <w:sz w:val="20"/>
      <w:szCs w:val="20"/>
    </w:rPr>
  </w:style>
  <w:style w:type="paragraph" w:styleId="977">
    <w:name w:val="Верхний колонтитул"/>
    <w:basedOn w:val="965"/>
    <w:next w:val="977"/>
    <w:link w:val="978"/>
    <w:uiPriority w:val="99"/>
    <w:pPr>
      <w:tabs>
        <w:tab w:val="center" w:pos="4677" w:leader="none"/>
        <w:tab w:val="right" w:pos="9355" w:leader="none"/>
      </w:tabs>
    </w:pPr>
  </w:style>
  <w:style w:type="character" w:styleId="978">
    <w:name w:val="Верхний колонтитул Знак"/>
    <w:next w:val="978"/>
    <w:link w:val="977"/>
    <w:uiPriority w:val="99"/>
    <w:rPr>
      <w:rFonts w:cs="Times New Roman"/>
    </w:rPr>
  </w:style>
  <w:style w:type="paragraph" w:styleId="979">
    <w:name w:val="Знак Знак Знак Знак Знак Знак Знак Знак Знак Знак Знак Знак"/>
    <w:basedOn w:val="965"/>
    <w:next w:val="979"/>
    <w:link w:val="965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paragraph" w:styleId="980">
    <w:name w:val="Знак"/>
    <w:basedOn w:val="965"/>
    <w:next w:val="980"/>
    <w:link w:val="965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81">
    <w:name w:val="Пункт Знак"/>
    <w:next w:val="981"/>
    <w:link w:val="982"/>
    <w:uiPriority w:val="99"/>
    <w:rPr>
      <w:rFonts w:cs="Times New Roman"/>
      <w:sz w:val="28"/>
      <w:lang w:val="ru-RU" w:eastAsia="ru-RU" w:bidi="ar-SA"/>
    </w:rPr>
  </w:style>
  <w:style w:type="paragraph" w:styleId="982">
    <w:name w:val="Пункт"/>
    <w:basedOn w:val="965"/>
    <w:next w:val="982"/>
    <w:link w:val="981"/>
    <w:uiPriority w:val="99"/>
    <w:pPr>
      <w:ind w:left="1134" w:hanging="1134"/>
      <w:jc w:val="both"/>
      <w:spacing w:line="360" w:lineRule="auto"/>
      <w:widowControl w:val="off"/>
      <w:tabs>
        <w:tab w:val="num" w:pos="1134" w:leader="none"/>
      </w:tabs>
    </w:pPr>
    <w:rPr>
      <w:sz w:val="28"/>
    </w:rPr>
  </w:style>
  <w:style w:type="paragraph" w:styleId="983">
    <w:name w:val="Основной текст с отступом 2"/>
    <w:basedOn w:val="965"/>
    <w:next w:val="983"/>
    <w:link w:val="984"/>
    <w:uiPriority w:val="99"/>
    <w:pPr>
      <w:ind w:left="283"/>
      <w:spacing w:after="120" w:line="480" w:lineRule="auto"/>
    </w:pPr>
  </w:style>
  <w:style w:type="character" w:styleId="984">
    <w:name w:val="Основной текст с отступом 2 Знак"/>
    <w:next w:val="984"/>
    <w:link w:val="983"/>
    <w:uiPriority w:val="99"/>
    <w:semiHidden/>
    <w:rPr>
      <w:rFonts w:cs="Times New Roman"/>
      <w:sz w:val="20"/>
      <w:szCs w:val="20"/>
    </w:rPr>
  </w:style>
  <w:style w:type="paragraph" w:styleId="985">
    <w:name w:val="Нумерованный список"/>
    <w:basedOn w:val="965"/>
    <w:next w:val="985"/>
    <w:link w:val="965"/>
    <w:uiPriority w:val="99"/>
    <w:pPr>
      <w:jc w:val="both"/>
      <w:spacing w:before="60" w:line="360" w:lineRule="auto"/>
    </w:pPr>
    <w:rPr>
      <w:sz w:val="28"/>
      <w:szCs w:val="24"/>
    </w:rPr>
  </w:style>
  <w:style w:type="paragraph" w:styleId="986">
    <w:name w:val="Обычный2"/>
    <w:next w:val="986"/>
    <w:link w:val="965"/>
    <w:uiPriority w:val="99"/>
    <w:pPr>
      <w:jc w:val="both"/>
      <w:spacing w:before="100" w:after="100" w:line="360" w:lineRule="atLeast"/>
      <w:widowControl w:val="off"/>
    </w:pPr>
    <w:rPr>
      <w:sz w:val="24"/>
      <w:lang w:val="ru-RU" w:eastAsia="ru-RU" w:bidi="ar-SA"/>
    </w:rPr>
  </w:style>
  <w:style w:type="paragraph" w:styleId="987">
    <w:name w:val="Основной текст"/>
    <w:basedOn w:val="965"/>
    <w:next w:val="987"/>
    <w:link w:val="988"/>
    <w:uiPriority w:val="99"/>
    <w:pPr>
      <w:spacing w:after="120"/>
    </w:pPr>
  </w:style>
  <w:style w:type="character" w:styleId="988">
    <w:name w:val="Основной текст Знак"/>
    <w:next w:val="988"/>
    <w:link w:val="987"/>
    <w:uiPriority w:val="99"/>
    <w:semiHidden/>
    <w:rPr>
      <w:rFonts w:cs="Times New Roman"/>
      <w:sz w:val="20"/>
      <w:szCs w:val="20"/>
    </w:rPr>
  </w:style>
  <w:style w:type="character" w:styleId="989">
    <w:name w:val="Гиперссылка"/>
    <w:next w:val="989"/>
    <w:link w:val="965"/>
    <w:uiPriority w:val="99"/>
    <w:rPr>
      <w:rFonts w:cs="Times New Roman"/>
      <w:color w:val="0000ff"/>
      <w:u w:val="single"/>
    </w:rPr>
  </w:style>
  <w:style w:type="paragraph" w:styleId="990">
    <w:name w:val="Знак1"/>
    <w:basedOn w:val="965"/>
    <w:next w:val="990"/>
    <w:link w:val="965"/>
    <w:uiPriority w:val="99"/>
    <w:pPr>
      <w:spacing w:after="160" w:line="240" w:lineRule="exact"/>
    </w:pPr>
    <w:rPr>
      <w:rFonts w:ascii="Verdana" w:hAnsi="Verdana" w:cs="Verdana"/>
      <w:lang w:val="en-US" w:eastAsia="en-US"/>
    </w:rPr>
  </w:style>
  <w:style w:type="character" w:styleId="991">
    <w:name w:val="apple-style-span"/>
    <w:next w:val="991"/>
    <w:link w:val="965"/>
    <w:uiPriority w:val="99"/>
    <w:rPr>
      <w:rFonts w:cs="Times New Roman"/>
    </w:rPr>
  </w:style>
  <w:style w:type="paragraph" w:styleId="992">
    <w:name w:val="Текст выноски"/>
    <w:basedOn w:val="965"/>
    <w:next w:val="992"/>
    <w:link w:val="993"/>
    <w:uiPriority w:val="99"/>
    <w:rPr>
      <w:rFonts w:ascii="Tahoma" w:hAnsi="Tahoma"/>
      <w:sz w:val="16"/>
      <w:szCs w:val="16"/>
    </w:rPr>
  </w:style>
  <w:style w:type="character" w:styleId="993">
    <w:name w:val="Текст выноски Знак"/>
    <w:next w:val="993"/>
    <w:link w:val="992"/>
    <w:uiPriority w:val="99"/>
    <w:rPr>
      <w:rFonts w:ascii="Tahoma" w:hAnsi="Tahoma" w:cs="Tahoma"/>
      <w:sz w:val="16"/>
      <w:szCs w:val="16"/>
    </w:rPr>
  </w:style>
  <w:style w:type="table" w:styleId="994">
    <w:name w:val="Сетка таблицы"/>
    <w:basedOn w:val="968"/>
    <w:next w:val="994"/>
    <w:link w:val="965"/>
    <w:uiPriority w:val="99"/>
    <w:tblPr/>
  </w:style>
  <w:style w:type="paragraph" w:styleId="995">
    <w:name w:val="Абзац списка,Нумерованый список,List Paragraph1,Абзац маркированнный,Table-Normal,RSHB_Table-Normal,ПАРАГРАФ,Маркер,List Paragraph,название,Bullet Number,Bullet List,FooterText,numbered,lp1,Абзац списка2,SL_Абзац списка,Абзац списка4,f_Абзац 1,Текстовая"/>
    <w:basedOn w:val="965"/>
    <w:next w:val="995"/>
    <w:link w:val="1002"/>
    <w:uiPriority w:val="34"/>
    <w:qFormat/>
    <w:pPr>
      <w:ind w:left="708"/>
    </w:pPr>
    <w:rPr>
      <w:sz w:val="24"/>
      <w:szCs w:val="24"/>
    </w:rPr>
  </w:style>
  <w:style w:type="paragraph" w:styleId="996">
    <w:name w:val="Таблица шапка"/>
    <w:basedOn w:val="965"/>
    <w:next w:val="996"/>
    <w:link w:val="965"/>
    <w:pPr>
      <w:ind w:left="57" w:right="57"/>
      <w:keepNext/>
      <w:spacing w:before="40" w:after="40"/>
    </w:pPr>
    <w:rPr>
      <w:sz w:val="22"/>
    </w:rPr>
  </w:style>
  <w:style w:type="paragraph" w:styleId="997">
    <w:name w:val="Таблица текст"/>
    <w:basedOn w:val="965"/>
    <w:next w:val="997"/>
    <w:link w:val="965"/>
    <w:pPr>
      <w:ind w:left="57" w:right="57"/>
      <w:spacing w:before="40" w:after="40"/>
    </w:pPr>
    <w:rPr>
      <w:sz w:val="24"/>
    </w:rPr>
  </w:style>
  <w:style w:type="character" w:styleId="998">
    <w:name w:val="Заголовок 2 Знак"/>
    <w:next w:val="998"/>
    <w:link w:val="966"/>
    <w:uiPriority w:val="9"/>
    <w:rPr>
      <w:b/>
      <w:bCs/>
      <w:sz w:val="36"/>
      <w:szCs w:val="36"/>
    </w:rPr>
  </w:style>
  <w:style w:type="paragraph" w:styleId="999">
    <w:name w:val="Основной текст 3"/>
    <w:basedOn w:val="965"/>
    <w:next w:val="999"/>
    <w:link w:val="1000"/>
    <w:uiPriority w:val="99"/>
    <w:unhideWhenUsed/>
    <w:pPr>
      <w:spacing w:after="120"/>
    </w:pPr>
    <w:rPr>
      <w:sz w:val="16"/>
      <w:szCs w:val="16"/>
    </w:rPr>
  </w:style>
  <w:style w:type="character" w:styleId="1000">
    <w:name w:val="Основной текст 3 Знак"/>
    <w:next w:val="1000"/>
    <w:link w:val="999"/>
    <w:uiPriority w:val="99"/>
    <w:rPr>
      <w:sz w:val="16"/>
      <w:szCs w:val="16"/>
    </w:rPr>
  </w:style>
  <w:style w:type="character" w:styleId="1001">
    <w:name w:val="apple-converted-space"/>
    <w:next w:val="1001"/>
    <w:link w:val="965"/>
  </w:style>
  <w:style w:type="character" w:styleId="1002">
    <w:name w:val="Абзац списка Знак,Нумерованый список Знак,List Paragraph1 Знак,Абзац маркированнный Знак,Table-Normal Знак,RSHB_Table-Normal Знак,ПАРАГРАФ Знак,Маркер Знак,List Paragraph Знак,название Знак,Bullet Number Знак,Bullet List Знак,FooterText Знак,lp1 Знак"/>
    <w:next w:val="1002"/>
    <w:link w:val="995"/>
    <w:uiPriority w:val="34"/>
    <w:qFormat/>
    <w:rPr>
      <w:sz w:val="24"/>
      <w:szCs w:val="24"/>
    </w:rPr>
  </w:style>
  <w:style w:type="paragraph" w:styleId="1003">
    <w:name w:val="Цитата1"/>
    <w:basedOn w:val="965"/>
    <w:next w:val="1003"/>
    <w:link w:val="965"/>
    <w:uiPriority w:val="99"/>
    <w:pPr>
      <w:ind w:left="34" w:right="32" w:firstLine="595"/>
      <w:jc w:val="both"/>
      <w:spacing w:line="360" w:lineRule="auto"/>
      <w:shd w:val="clear" w:color="auto" w:fill="ffffff"/>
    </w:pPr>
    <w:rPr>
      <w:rFonts w:ascii="Arial" w:hAnsi="Arial"/>
      <w:color w:val="000000"/>
      <w:sz w:val="22"/>
    </w:rPr>
  </w:style>
  <w:style w:type="paragraph" w:styleId="1004">
    <w:name w:val="Текст сноски"/>
    <w:basedOn w:val="965"/>
    <w:next w:val="1004"/>
    <w:link w:val="1005"/>
    <w:uiPriority w:val="99"/>
    <w:unhideWhenUsed/>
    <w:rPr>
      <w:rFonts w:ascii="Calibri" w:hAnsi="Calibri" w:eastAsia="Calibri"/>
      <w:lang w:val="en-US" w:eastAsia="en-US"/>
    </w:rPr>
  </w:style>
  <w:style w:type="character" w:styleId="1005">
    <w:name w:val="Текст сноски Знак"/>
    <w:next w:val="1005"/>
    <w:link w:val="1004"/>
    <w:uiPriority w:val="99"/>
    <w:rPr>
      <w:rFonts w:ascii="Calibri" w:hAnsi="Calibri" w:eastAsia="Calibri"/>
      <w:lang w:val="en-US" w:eastAsia="en-US"/>
    </w:rPr>
  </w:style>
  <w:style w:type="character" w:styleId="1006">
    <w:name w:val="Знак сноски"/>
    <w:next w:val="1006"/>
    <w:link w:val="965"/>
    <w:uiPriority w:val="99"/>
    <w:unhideWhenUsed/>
    <w:rPr>
      <w:vertAlign w:val="superscript"/>
    </w:rPr>
  </w:style>
  <w:style w:type="character" w:styleId="1007" w:default="1">
    <w:name w:val="Default Paragraph Font"/>
    <w:uiPriority w:val="1"/>
    <w:semiHidden/>
    <w:unhideWhenUsed/>
  </w:style>
  <w:style w:type="numbering" w:styleId="1008" w:default="1">
    <w:name w:val="No List"/>
    <w:uiPriority w:val="99"/>
    <w:semiHidden/>
    <w:unhideWhenUsed/>
  </w:style>
  <w:style w:type="table" w:styleId="1009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123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kaigorodceva</dc:creator>
  <cp:lastModifiedBy>ZhukovinaAV</cp:lastModifiedBy>
  <cp:revision>138</cp:revision>
  <dcterms:created xsi:type="dcterms:W3CDTF">2019-08-15T06:51:00Z</dcterms:created>
  <dcterms:modified xsi:type="dcterms:W3CDTF">2025-12-15T08:12:25Z</dcterms:modified>
  <cp:version>1048576</cp:version>
</cp:coreProperties>
</file>