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before="0" w:beforeAutospacing="0" w:after="0" w:afterAutospacing="0" w:line="240" w:lineRule="auto"/>
        <w:widowControl w:val="off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white"/>
        </w:rPr>
        <w:t xml:space="preserve">Протокол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white"/>
        </w:rPr>
        <w:t xml:space="preserve"> 3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br/>
        <w:t xml:space="preserve">о подведении итогов  </w:t>
      </w:r>
      <w:r>
        <w:rPr>
          <w:rFonts w:ascii="Times New Roman" w:hAnsi="Times New Roman" w:cs="Times New Roman"/>
          <w:b/>
          <w:bCs/>
          <w:sz w:val="26"/>
          <w:szCs w:val="26"/>
        </w:rPr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>
      <w:pPr>
        <w:jc w:val="both"/>
        <w:keepNext/>
        <w:spacing w:before="0" w:beforeAutospacing="0" w:after="0" w:afterAutospacing="0" w:line="240" w:lineRule="auto"/>
        <w:tabs>
          <w:tab w:val="left" w:pos="7797" w:leader="none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г. Калининград</w:t>
      </w:r>
      <w:r>
        <w:rPr>
          <w:rFonts w:ascii="Times New Roman" w:hAnsi="Times New Roman" w:eastAsia="Times New Roman" w:cs="Times New Roman"/>
          <w:sz w:val="26"/>
          <w:szCs w:val="26"/>
        </w:rPr>
        <w:tab/>
        <w:t xml:space="preserve">«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15» декабря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2025 г.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bCs/>
          <w:sz w:val="22"/>
          <w:szCs w:val="22"/>
        </w:rPr>
      </w:r>
    </w:p>
    <w:p>
      <w:pPr>
        <w:ind w:right="1205"/>
        <w:jc w:val="both"/>
        <w:keepNext/>
        <w:spacing w:before="0" w:beforeAutospacing="0" w:after="0" w:afterAutospacing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Дата заседания </w:t>
      </w:r>
      <w:r>
        <w:rPr>
          <w:rFonts w:ascii="Times New Roman" w:hAnsi="Times New Roman" w:eastAsia="Times New Roman" w:cs="Times New Roman"/>
          <w:bCs/>
          <w:sz w:val="26"/>
          <w:szCs w:val="26"/>
        </w:rPr>
        <w:t xml:space="preserve">Закупочн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ой комиссии: 12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.12.2025 г.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right="1205"/>
        <w:jc w:val="both"/>
        <w:keepNext/>
        <w:spacing w:before="0" w:beforeAutospacing="0" w:after="0" w:afterAutospacing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Дата подписания Протокола: 15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.12.2025 г.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jc w:val="both"/>
        <w:keepNext/>
        <w:spacing w:before="0" w:beforeAutospacing="0" w:after="0" w:afterAutospacing="0" w:line="240" w:lineRule="auto"/>
        <w:shd w:val="clear" w:color="auto" w:fill="ffffff"/>
        <w:tabs>
          <w:tab w:val="left" w:pos="567" w:leader="none"/>
          <w:tab w:val="num" w:pos="1134" w:leader="none"/>
          <w:tab w:val="num" w:pos="1430" w:leader="none"/>
          <w:tab w:val="num" w:pos="1560" w:leader="none"/>
        </w:tabs>
        <w:rPr>
          <w:rFonts w:ascii="Times New Roman" w:hAnsi="Times New Roman" w:cs="Times New Roman"/>
          <w:b/>
          <w:sz w:val="22"/>
          <w:szCs w:val="22"/>
          <w:u w:val="singl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sz w:val="26"/>
          <w:szCs w:val="26"/>
          <w:u w:val="single"/>
          <w:shd w:val="clear" w:color="auto" w:fill="ffffff"/>
        </w:rPr>
      </w:r>
      <w:r>
        <w:rPr>
          <w:rFonts w:ascii="Times New Roman" w:hAnsi="Times New Roman" w:cs="Times New Roman"/>
          <w:b/>
          <w:sz w:val="22"/>
          <w:szCs w:val="22"/>
          <w:u w:val="single"/>
          <w:shd w:val="clear" w:color="auto" w:fill="ffffff"/>
        </w:rPr>
      </w:r>
    </w:p>
    <w:p>
      <w:pPr>
        <w:pStyle w:val="865"/>
        <w:numPr>
          <w:ilvl w:val="0"/>
          <w:numId w:val="0"/>
        </w:numPr>
        <w:jc w:val="both"/>
        <w:keepNext/>
        <w:spacing w:before="0" w:beforeAutospacing="0" w:after="0" w:afterAutospacing="0" w:line="240" w:lineRule="auto"/>
        <w:tabs>
          <w:tab w:val="left" w:pos="851" w:leader="none"/>
          <w:tab w:val="num" w:pos="2127" w:leader="none"/>
        </w:tabs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 xml:space="preserve">ПРЕДМЕТ И НАИМЕНОВАНИЕ ЗАКУПКИ: </w:t>
      </w: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u w:val="single"/>
        </w:rPr>
      </w:r>
    </w:p>
    <w:p>
      <w:pPr>
        <w:jc w:val="both"/>
        <w:spacing w:before="0" w:beforeAutospacing="0"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Запрос котировок в электронной форме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на право заключения договора по титулу: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white"/>
        </w:rPr>
        <w:t xml:space="preserve">Поставка пломбировочных материалов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  <w:shd w:val="clear" w:color="auto" w:fill="ffffff"/>
        </w:rPr>
        <w:t xml:space="preserve">(далее – Закупка).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</w:r>
    </w:p>
    <w:p>
      <w:pPr>
        <w:pStyle w:val="865"/>
        <w:numPr>
          <w:ilvl w:val="0"/>
          <w:numId w:val="0"/>
        </w:numPr>
        <w:jc w:val="both"/>
        <w:keepNext/>
        <w:spacing w:before="0" w:beforeAutospacing="0" w:after="0" w:afterAutospacing="0" w:line="240" w:lineRule="auto"/>
        <w:tabs>
          <w:tab w:val="left" w:pos="851" w:leader="none"/>
          <w:tab w:val="num" w:pos="2127" w:leader="none"/>
        </w:tabs>
        <w:rPr>
          <w:rFonts w:ascii="Times New Roman" w:hAnsi="Times New Roman" w:cs="Times New Roman"/>
          <w:iCs/>
        </w:rPr>
      </w:pPr>
      <w:r>
        <w:rPr>
          <w:rFonts w:ascii="Times New Roman" w:hAnsi="Times New Roman" w:eastAsia="Times New Roman" w:cs="Times New Roman"/>
          <w:sz w:val="26"/>
          <w:szCs w:val="26"/>
          <w:highlight w:val="white"/>
          <w:shd w:val="clear" w:color="auto" w:fill="ffffff"/>
        </w:rPr>
        <w:t xml:space="preserve">Порядковый номер закупки в Плане закупки товаров, работ, услуг для нужд Общества на 2025 год – №493</w:t>
      </w:r>
      <w:r>
        <w:rPr>
          <w:rFonts w:ascii="Times New Roman" w:hAnsi="Times New Roman" w:eastAsia="Times New Roman" w:cs="Times New Roman"/>
          <w:iCs/>
          <w:sz w:val="26"/>
          <w:szCs w:val="26"/>
        </w:rPr>
      </w:r>
      <w:r>
        <w:rPr>
          <w:rFonts w:ascii="Times New Roman" w:hAnsi="Times New Roman" w:cs="Times New Roman"/>
          <w:iCs/>
        </w:rPr>
      </w:r>
    </w:p>
    <w:p>
      <w:pPr>
        <w:pStyle w:val="865"/>
        <w:numPr>
          <w:ilvl w:val="0"/>
          <w:numId w:val="0"/>
        </w:numPr>
        <w:jc w:val="both"/>
        <w:keepNext/>
        <w:spacing w:before="0" w:beforeAutospacing="0" w:after="0" w:afterAutospacing="0" w:line="240" w:lineRule="auto"/>
        <w:tabs>
          <w:tab w:val="left" w:pos="851" w:leader="none"/>
          <w:tab w:val="num" w:pos="2127" w:leader="none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Официальное Извещение о проведении закупки размещено (опубликовано) в единой информационной системе в сфере закупок по адресу в сети Интернет «www.zakupki.gov.ru» от «20» ноября 2025 года (извещение №32515428789)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65"/>
        <w:numPr>
          <w:ilvl w:val="0"/>
          <w:numId w:val="0"/>
        </w:numPr>
        <w:jc w:val="both"/>
        <w:keepNext/>
        <w:spacing w:before="0" w:beforeAutospacing="0" w:after="0" w:afterAutospacing="0" w:line="240" w:lineRule="auto"/>
        <w:tabs>
          <w:tab w:val="left" w:pos="851" w:leader="none"/>
          <w:tab w:val="num" w:pos="2127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65"/>
        <w:numPr>
          <w:ilvl w:val="0"/>
          <w:numId w:val="0"/>
        </w:numPr>
        <w:jc w:val="both"/>
        <w:keepNext/>
        <w:spacing w:before="0" w:beforeAutospacing="0" w:after="0" w:afterAutospacing="0" w:line="240" w:lineRule="auto"/>
        <w:tabs>
          <w:tab w:val="left" w:pos="851" w:leader="none"/>
          <w:tab w:val="num" w:pos="2127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Cs/>
          <w:sz w:val="26"/>
          <w:szCs w:val="26"/>
          <w:u w:val="single"/>
        </w:rPr>
        <w:t xml:space="preserve">НАЧАЛЬНАЯ (МАКСИМАЛЬНАЯ) ЦЕНА ДОГОВОРА (ЛОТА):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65"/>
        <w:numPr>
          <w:ilvl w:val="0"/>
          <w:numId w:val="0"/>
        </w:numPr>
        <w:jc w:val="both"/>
        <w:keepNext/>
        <w:spacing w:before="0" w:beforeAutospacing="0" w:after="0" w:afterAutospacing="0" w:line="240" w:lineRule="auto"/>
        <w:tabs>
          <w:tab w:val="left" w:pos="851" w:leader="none"/>
          <w:tab w:val="num" w:pos="2127" w:leader="none"/>
        </w:tabs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555 090,00 рублей без НДС / 666 108,00 рублей с НДС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</w:r>
    </w:p>
    <w:p>
      <w:pPr>
        <w:jc w:val="both"/>
        <w:spacing w:before="0" w:beforeAutospacing="0" w:after="0" w:afterAutospacing="0" w:line="240" w:lineRule="auto"/>
        <w:tabs>
          <w:tab w:val="left" w:pos="851" w:leader="none"/>
          <w:tab w:val="left" w:pos="1134" w:leader="none"/>
        </w:tabs>
        <w:rPr>
          <w:rFonts w:ascii="Times New Roman" w:hAnsi="Times New Roman" w:cs="Times New Roman"/>
          <w:sz w:val="22"/>
          <w:szCs w:val="22"/>
        </w:rPr>
        <w:outlineLvl w:val="4"/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jc w:val="both"/>
        <w:spacing w:before="0" w:beforeAutospacing="0" w:after="0" w:afterAutospacing="0" w:line="240" w:lineRule="auto"/>
        <w:tabs>
          <w:tab w:val="left" w:pos="567" w:leader="none"/>
          <w:tab w:val="left" w:pos="851" w:leader="none"/>
          <w:tab w:val="num" w:pos="2127" w:leader="none"/>
        </w:tabs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 xml:space="preserve">СОСТАВ ЗАКУПОЧНОЙ КОМИССИИ:</w:t>
      </w: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2"/>
          <w:szCs w:val="22"/>
          <w:u w:val="single"/>
        </w:rPr>
      </w:r>
    </w:p>
    <w:p>
      <w:pPr>
        <w:jc w:val="both"/>
        <w:spacing w:before="0" w:beforeAutospacing="0" w:after="0" w:afterAutospacing="0" w:line="240" w:lineRule="auto"/>
        <w:tabs>
          <w:tab w:val="num" w:pos="709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Состав Закупочной комиссии утвержден приказом АО «Россети Янтарь» от 15.08.2025 г. №284.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jc w:val="both"/>
        <w:spacing w:before="0" w:beforeAutospacing="0" w:after="0" w:afterAutospacing="0" w:line="240" w:lineRule="auto"/>
        <w:tabs>
          <w:tab w:val="num" w:pos="709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Кворум имеется. Закупочная комиссия правомочна принимать решения.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jc w:val="both"/>
        <w:spacing w:before="0" w:beforeAutospacing="0" w:after="0" w:afterAutospacing="0" w:line="240" w:lineRule="auto"/>
        <w:tabs>
          <w:tab w:val="num" w:pos="709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Место проведения заседания Закупочной комиссии: 236022, обл. Калининградская, г. Калининград, ул. Театральная, д. 34.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right="-427"/>
        <w:jc w:val="both"/>
        <w:keepNext/>
        <w:spacing w:before="0" w:beforeAutospacing="0" w:after="0" w:afterAutospacing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Сведения об участниках, подавших заявки на участие в закупке: </w:t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tbl>
      <w:tblPr>
        <w:tblW w:w="4986" w:type="pct"/>
        <w:tblInd w:w="28" w:type="dxa"/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601"/>
        <w:gridCol w:w="4502"/>
        <w:gridCol w:w="5130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1" w:type="dxa"/>
            <w:textDirection w:val="lrTb"/>
            <w:noWrap w:val="false"/>
          </w:tcPr>
          <w:p>
            <w:pPr>
              <w:pStyle w:val="869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 xml:space="preserve">N 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п/п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2" w:type="dxa"/>
            <w:vAlign w:val="center"/>
            <w:textDirection w:val="lrTb"/>
            <w:noWrap w:val="false"/>
          </w:tcPr>
          <w:p>
            <w:pPr>
              <w:pStyle w:val="869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Номер заявки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vAlign w:val="center"/>
            <w:textDirection w:val="lrTb"/>
            <w:noWrap w:val="false"/>
          </w:tcPr>
          <w:p>
            <w:pPr>
              <w:pStyle w:val="869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Дата и время регистрации заявки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3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1" w:type="dxa"/>
            <w:textDirection w:val="lrTb"/>
            <w:noWrap w:val="false"/>
          </w:tcPr>
          <w:p>
            <w:pPr>
              <w:pStyle w:val="869"/>
              <w:jc w:val="both"/>
              <w:spacing w:before="0" w:beforeAutospacing="0" w:after="0" w:afterAutospacing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2" w:type="dxa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№1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27.11.2025 16:19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25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01" w:type="dxa"/>
            <w:vMerge w:val="restart"/>
            <w:textDirection w:val="lrTb"/>
            <w:noWrap w:val="false"/>
          </w:tcPr>
          <w:p>
            <w:pPr>
              <w:pStyle w:val="869"/>
              <w:jc w:val="both"/>
              <w:spacing w:before="0" w:beforeAutospacing="0" w:after="0" w:afterAutospacing="0" w:line="240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02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№2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30" w:type="dxa"/>
            <w:vMerge w:val="restart"/>
            <w:textDirection w:val="lrTb"/>
            <w:noWrap w:val="false"/>
          </w:tcPr>
          <w:p>
            <w:pPr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28.11.2025 12:38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jc w:val="both"/>
        <w:spacing w:before="0" w:beforeAutospacing="0" w:after="0" w:afterAutospacing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70"/>
        <w:ind w:left="0"/>
        <w:jc w:val="both"/>
        <w:keepLines/>
        <w:spacing w:before="0" w:beforeAutospacing="0" w:after="0" w:afterAutospacing="0" w:line="240" w:lineRule="auto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 xml:space="preserve">РЕШЕНИЕ:</w:t>
      </w: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2"/>
          <w:szCs w:val="22"/>
          <w:u w:val="single"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b/>
          <w:bCs/>
          <w:i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1 О результатах проведенной переторжки.</w:t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  <w:highlight w:val="none"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Процедура переторжки проведена в соответствии с Регламентом проведения переторжки на электронной торговой площадке. Информация о ценовых предложениях с учетом проведенной процедуры переторжки представлена ниже: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867"/>
        <w:tblW w:w="10670" w:type="dxa"/>
        <w:tblInd w:w="-85" w:type="dxa"/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3969"/>
        <w:gridCol w:w="3725"/>
      </w:tblGrid>
      <w:tr>
        <w:tblPrEx/>
        <w:trPr/>
        <w:tc>
          <w:tcPr>
            <w:tcW w:w="709" w:type="dxa"/>
            <w:vAlign w:val="center"/>
            <w:textDirection w:val="lrTb"/>
            <w:noWrap w:val="false"/>
          </w:tcPr>
          <w:p>
            <w:pPr>
              <w:pStyle w:val="869"/>
              <w:jc w:val="center"/>
              <w:spacing w:before="0" w:beforeAutospacing="0" w:after="0" w:afterAutospacing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  <w:lang w:val="en-US"/>
              </w:rPr>
              <w:t xml:space="preserve">N 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п/п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ind w:left="57" w:right="57" w:firstLine="0"/>
              <w:jc w:val="left"/>
              <w:keepNext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Рег. номер 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spacing w:line="240" w:lineRule="auto"/>
              <w:widowControl/>
              <w:rPr>
                <w:b/>
                <w:sz w:val="24"/>
                <w:szCs w:val="24"/>
              </w:rPr>
              <w:outlineLvl w:val="1"/>
            </w:pPr>
            <w:r>
              <w:rPr>
                <w:b/>
                <w:sz w:val="24"/>
                <w:szCs w:val="24"/>
              </w:rPr>
              <w:t xml:space="preserve">Первоначальное ценовое предложение, без НДС / с НДС в руб.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3725" w:type="dxa"/>
            <w:vAlign w:val="center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Предложение о цене по результатам переторжки, </w:t>
            </w:r>
            <w:r>
              <w:rPr>
                <w:b/>
                <w:sz w:val="24"/>
                <w:szCs w:val="24"/>
              </w:rPr>
              <w:t xml:space="preserve">без НДС / с НДС в руб.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blPrEx/>
        <w:trPr/>
        <w:tc>
          <w:tcPr>
            <w:tcW w:w="709" w:type="dxa"/>
            <w:vAlign w:val="center"/>
            <w:textDirection w:val="lrTb"/>
            <w:noWrap w:val="false"/>
          </w:tcPr>
          <w:p>
            <w:pPr>
              <w:pStyle w:val="869"/>
              <w:jc w:val="both"/>
              <w:spacing w:before="0" w:beforeAutospacing="0" w:after="0" w:afterAutospacing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№1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69" w:type="dxa"/>
            <w:vAlign w:val="center"/>
            <w:textDirection w:val="lrTb"/>
            <w:noWrap w:val="false"/>
          </w:tcPr>
          <w:p>
            <w:pPr>
              <w:jc w:val="center"/>
              <w:shd w:val="clear" w:color="ffffff" w:fill="ffffff"/>
              <w:rPr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 xml:space="preserve">555 090,00/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hd w:val="clear" w:color="ffffff" w:fill="ffffff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 xml:space="preserve">555 090,00</w:t>
            </w:r>
            <w:r>
              <w:rPr>
                <w:rFonts w:cs="Times New Roman"/>
                <w:b/>
                <w:sz w:val="22"/>
                <w:szCs w:val="22"/>
              </w:rPr>
            </w:r>
            <w:r>
              <w:rPr>
                <w:rFonts w:cs="Times New Roman"/>
                <w:b/>
                <w:sz w:val="22"/>
                <w:szCs w:val="22"/>
              </w:rPr>
            </w:r>
          </w:p>
        </w:tc>
        <w:tc>
          <w:tcPr>
            <w:tcW w:w="3725" w:type="dxa"/>
            <w:textDirection w:val="lrTb"/>
            <w:noWrap w:val="false"/>
          </w:tcPr>
          <w:p>
            <w:pPr>
              <w:pStyle w:val="862"/>
              <w:ind w:left="0"/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  <w:t xml:space="preserve">551 093,35/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r>
          </w:p>
          <w:p>
            <w:pPr>
              <w:pStyle w:val="862"/>
              <w:ind w:left="0"/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b/>
                <w:bCs/>
                <w:sz w:val="22"/>
                <w:szCs w:val="22"/>
              </w:rPr>
              <w:t xml:space="preserve">551 093,35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r>
          </w:p>
        </w:tc>
      </w:tr>
      <w:tr>
        <w:tblPrEx/>
        <w:trPr/>
        <w:tc>
          <w:tcPr>
            <w:tcW w:w="709" w:type="dxa"/>
            <w:vAlign w:val="center"/>
            <w:textDirection w:val="lrTb"/>
            <w:noWrap w:val="false"/>
          </w:tcPr>
          <w:p>
            <w:pPr>
              <w:pStyle w:val="869"/>
              <w:jc w:val="both"/>
              <w:spacing w:before="0" w:beforeAutospacing="0" w:after="0" w:afterAutospacing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№2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69" w:type="dxa"/>
            <w:vAlign w:val="center"/>
            <w:textDirection w:val="lrTb"/>
            <w:noWrap w:val="false"/>
          </w:tcPr>
          <w:p>
            <w:pPr>
              <w:jc w:val="center"/>
              <w:shd w:val="clear" w:color="ffffff" w:fill="ffffff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 xml:space="preserve">555 090,00/</w:t>
            </w:r>
            <w:r>
              <w:rPr>
                <w:rFonts w:cs="Times New Roman"/>
                <w:b/>
                <w:bCs/>
                <w:sz w:val="22"/>
                <w:szCs w:val="22"/>
              </w:rPr>
            </w:r>
            <w:r>
              <w:rPr>
                <w:rFonts w:cs="Times New Roman"/>
                <w:b/>
                <w:bCs/>
                <w:sz w:val="22"/>
                <w:szCs w:val="22"/>
              </w:rPr>
            </w:r>
          </w:p>
          <w:p>
            <w:pPr>
              <w:jc w:val="center"/>
              <w:shd w:val="clear" w:color="ffffff" w:fill="ffffff"/>
              <w:rPr>
                <w:rFonts w:cs="Times New Roman"/>
                <w:b/>
                <w:bCs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 xml:space="preserve">666 108,00</w:t>
            </w:r>
            <w:r>
              <w:rPr>
                <w:rFonts w:cs="Times New Roman"/>
                <w:b/>
                <w:bCs/>
                <w:sz w:val="22"/>
                <w:szCs w:val="22"/>
              </w:rPr>
            </w:r>
            <w:r>
              <w:rPr>
                <w:rFonts w:cs="Times New Roman"/>
                <w:b/>
                <w:bCs/>
                <w:sz w:val="22"/>
                <w:szCs w:val="22"/>
              </w:rPr>
            </w:r>
          </w:p>
        </w:tc>
        <w:tc>
          <w:tcPr>
            <w:tcW w:w="3725" w:type="dxa"/>
            <w:textDirection w:val="lrTb"/>
            <w:noWrap w:val="false"/>
          </w:tcPr>
          <w:p>
            <w:pPr>
              <w:jc w:val="center"/>
              <w:shd w:val="clear" w:color="ffffff" w:fill="ffffff"/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551 000,00/</w:t>
            </w:r>
            <w:r>
              <w:rPr>
                <w:rFonts w:cs="Times New Roman"/>
                <w:b/>
                <w:bCs/>
                <w:sz w:val="22"/>
                <w:szCs w:val="22"/>
              </w:rPr>
            </w:r>
            <w:r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r>
          </w:p>
          <w:p>
            <w:pPr>
              <w:jc w:val="center"/>
              <w:shd w:val="clear" w:color="ffffff" w:fill="ffffff"/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661 200,00</w:t>
            </w:r>
            <w:r>
              <w:rPr>
                <w:rFonts w:cs="Times New Roman"/>
                <w:b/>
                <w:bCs/>
                <w:sz w:val="22"/>
                <w:szCs w:val="22"/>
              </w:rPr>
            </w:r>
            <w:r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</w:tbl>
    <w:p>
      <w:pPr>
        <w:pStyle w:val="862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sz w:val="26"/>
          <w:szCs w:val="26"/>
        </w:rPr>
        <w:t xml:space="preserve">Процедура переторжки при</w:t>
      </w:r>
      <w:r>
        <w:rPr>
          <w:rFonts w:ascii="Times New Roman" w:hAnsi="Times New Roman" w:cs="Times New Roman"/>
          <w:sz w:val="26"/>
          <w:szCs w:val="26"/>
        </w:rPr>
        <w:t xml:space="preserve">зн</w:t>
      </w:r>
      <w:r>
        <w:rPr>
          <w:rFonts w:ascii="Times New Roman" w:hAnsi="Times New Roman" w:cs="Times New Roman"/>
          <w:sz w:val="26"/>
          <w:szCs w:val="26"/>
          <w:highlight w:val="white"/>
        </w:rPr>
        <w:t xml:space="preserve">ана</w:t>
      </w:r>
      <w:r>
        <w:rPr>
          <w:rFonts w:ascii="Times New Roman" w:hAnsi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состоявшейся</w:t>
      </w:r>
      <w:r>
        <w:rPr>
          <w:rFonts w:ascii="Times New Roman" w:hAnsi="Times New Roman" w:cs="Times New Roman"/>
          <w:b/>
          <w:bCs/>
          <w:sz w:val="26"/>
          <w:szCs w:val="26"/>
          <w:highlight w:val="white"/>
        </w:rPr>
        <w:t xml:space="preserve">.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2. О ранжировке заявок участников закупки.</w:t>
      </w:r>
      <w:r/>
    </w:p>
    <w:p>
      <w:pPr>
        <w:ind w:right="-24"/>
        <w:jc w:val="both"/>
        <w:keepNext/>
        <w:spacing w:after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 соответстви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и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с п.5.7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Извещ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ения о закупке ранжировать заявки участников закупки следующим образом: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tbl>
      <w:tblPr>
        <w:tblStyle w:val="867"/>
        <w:tblW w:w="10528" w:type="dxa"/>
        <w:tblInd w:w="57" w:type="dxa"/>
        <w:tblLayout w:type="fixed"/>
        <w:tblLook w:val="04A0" w:firstRow="1" w:lastRow="0" w:firstColumn="1" w:lastColumn="0" w:noHBand="0" w:noVBand="1"/>
      </w:tblPr>
      <w:tblGrid>
        <w:gridCol w:w="1611"/>
        <w:gridCol w:w="3491"/>
        <w:gridCol w:w="5426"/>
      </w:tblGrid>
      <w:tr>
        <w:tblPrEx/>
        <w:trPr>
          <w:trHeight w:val="743"/>
        </w:trPr>
        <w:tc>
          <w:tcPr>
            <w:tcW w:w="1611" w:type="dxa"/>
            <w:vAlign w:val="center"/>
            <w:textDirection w:val="lrTb"/>
            <w:noWrap w:val="false"/>
          </w:tcPr>
          <w:p>
            <w:pPr>
              <w:contextualSpacing/>
              <w:ind w:left="-57" w:right="-57"/>
              <w:jc w:val="center"/>
              <w:spacing w:line="240" w:lineRule="auto"/>
              <w:widowControl/>
              <w:rPr>
                <w:b/>
                <w:sz w:val="24"/>
                <w:szCs w:val="24"/>
              </w:rPr>
              <w:outlineLvl w:val="1"/>
            </w:pPr>
            <w:r>
              <w:rPr>
                <w:b/>
                <w:sz w:val="24"/>
                <w:szCs w:val="24"/>
              </w:rPr>
              <w:t xml:space="preserve">Место в ранжировке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3491" w:type="dxa"/>
            <w:vAlign w:val="center"/>
            <w:textDirection w:val="lrTb"/>
            <w:noWrap w:val="false"/>
          </w:tcPr>
          <w:p>
            <w:pPr>
              <w:ind w:left="57" w:right="57" w:firstLine="86"/>
              <w:jc w:val="center"/>
              <w:keepNext/>
              <w:spacing w:after="0" w:afterAutospacing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Рег. номер заявки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contextualSpacing/>
              <w:ind w:left="-57" w:right="-57"/>
              <w:jc w:val="left"/>
              <w:spacing w:line="240" w:lineRule="auto"/>
              <w:widowControl/>
              <w:rPr>
                <w:b/>
                <w:sz w:val="24"/>
                <w:szCs w:val="24"/>
              </w:rPr>
              <w:outlineLvl w:val="1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542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 xml:space="preserve">Предложение о цене с учетом проведенной переторжки, руб.</w:t>
            </w:r>
            <w:r/>
          </w:p>
        </w:tc>
      </w:tr>
      <w:tr>
        <w:tblPrEx/>
        <w:trPr/>
        <w:tc>
          <w:tcPr>
            <w:tcW w:w="1611" w:type="dxa"/>
            <w:textDirection w:val="lrTb"/>
            <w:noWrap w:val="false"/>
          </w:tcPr>
          <w:p>
            <w:pPr>
              <w:contextualSpacing/>
              <w:jc w:val="center"/>
              <w:spacing w:line="240" w:lineRule="auto"/>
              <w:widowControl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91" w:type="dxa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№2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  <w:p>
            <w:pPr>
              <w:jc w:val="center"/>
            </w:pPr>
            <w:r/>
            <w:r/>
          </w:p>
        </w:tc>
        <w:tc>
          <w:tcPr>
            <w:tcW w:w="5426" w:type="dxa"/>
            <w:textDirection w:val="lrTb"/>
            <w:noWrap w:val="false"/>
          </w:tcPr>
          <w:p>
            <w:pPr>
              <w:jc w:val="center"/>
              <w:shd w:val="clear" w:color="ffffff" w:fill="ffffff"/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551 000,00/</w:t>
            </w:r>
            <w:r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r>
          </w:p>
          <w:p>
            <w:pPr>
              <w:jc w:val="center"/>
              <w:shd w:val="clear" w:color="ffffff" w:fill="ffffff"/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 xml:space="preserve">661 200,00</w:t>
            </w:r>
            <w:r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r>
            <w:r>
              <w:rPr>
                <w:rFonts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blPrEx/>
        <w:trPr/>
        <w:tc>
          <w:tcPr>
            <w:tcW w:w="1611" w:type="dxa"/>
            <w:textDirection w:val="lrTb"/>
            <w:noWrap w:val="false"/>
          </w:tcPr>
          <w:p>
            <w:pPr>
              <w:contextualSpacing/>
              <w:jc w:val="center"/>
              <w:spacing w:line="240" w:lineRule="auto"/>
              <w:widowControl/>
              <w:tabs>
                <w:tab w:val="left" w:pos="426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3491" w:type="dxa"/>
            <w:textDirection w:val="lrTb"/>
            <w:noWrap w:val="false"/>
          </w:tcPr>
          <w:p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№1</w:t>
            </w:r>
            <w:r/>
          </w:p>
        </w:tc>
        <w:tc>
          <w:tcPr>
            <w:tcW w:w="5426" w:type="dxa"/>
            <w:textDirection w:val="lrTb"/>
            <w:noWrap w:val="false"/>
          </w:tcPr>
          <w:p>
            <w:pPr>
              <w:pStyle w:val="862"/>
              <w:ind w:left="0"/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  <w:t xml:space="preserve">551 093,35/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r>
          </w:p>
          <w:p>
            <w:pPr>
              <w:pStyle w:val="862"/>
              <w:ind w:left="0"/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b/>
                <w:bCs/>
                <w:sz w:val="22"/>
                <w:szCs w:val="22"/>
              </w:rPr>
              <w:t xml:space="preserve">551 093,35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white"/>
              </w:rPr>
            </w:r>
          </w:p>
        </w:tc>
      </w:tr>
    </w:tbl>
    <w:p>
      <w:pPr>
        <w:ind w:right="-24"/>
        <w:jc w:val="both"/>
        <w:keepNext/>
        <w:spacing w:after="0" w:afterAutospacing="0" w:line="240" w:lineRule="auto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b/>
          <w:bCs/>
          <w:i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 xml:space="preserve">3. Об определении победителя закупки.</w:t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6"/>
          <w:szCs w:val="26"/>
          <w:highlight w:val="none"/>
        </w:rPr>
      </w:r>
    </w:p>
    <w:p>
      <w:pPr>
        <w:ind w:right="-24"/>
        <w:jc w:val="both"/>
        <w:keepNext/>
        <w:spacing w:after="0" w:afterAutospacing="0" w:line="240" w:lineRule="auto"/>
        <w:shd w:val="clear" w:color="ffffff" w:themeColor="background1" w:fill="ffffff" w:themeFill="background1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3.1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ризнать победителем закупки участника, занявшего первое место в ранжировке заявок, а именно участника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№ 2 на сумму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551 000,00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 руб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б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е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з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661 200,00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 руб.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  <w:t xml:space="preserve">. Остальные условия договора в соответствии с извещением о проведении закупки, документацией о закупке и заявкой победителя закупки.
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</w:r>
    </w:p>
    <w:p>
      <w:pPr>
        <w:ind w:left="0" w:right="-24" w:firstLine="0"/>
        <w:jc w:val="both"/>
        <w:keepNext/>
        <w:spacing w:after="0" w:afterAutospacing="0" w:line="240" w:lineRule="auto"/>
        <w:shd w:val="clear" w:color="ffffff" w:themeColor="background1" w:fill="ffffff" w:themeFill="background1"/>
        <w:tabs>
          <w:tab w:val="left" w:pos="567" w:leader="none"/>
          <w:tab w:val="left" w:pos="851" w:leader="none"/>
        </w:tabs>
        <w:rPr>
          <w:rFonts w:ascii="Times New Roman" w:hAnsi="Times New Roman" w:eastAsia="Times New Roman" w:cs="Times New Roman"/>
          <w:sz w:val="26"/>
          <w:szCs w:val="26"/>
          <w:highlight w:val="whit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3.2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Заказчику провести преддоговорные переговоры на предмет снижения цены Заявки с участником № 2 и заключить Договор по цене, достигнутой по результатам проведенных переговоров.</w:t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</w:r>
      <w:r>
        <w:rPr>
          <w:rFonts w:ascii="Times New Roman" w:hAnsi="Times New Roman" w:eastAsia="Times New Roman" w:cs="Times New Roman"/>
          <w:sz w:val="26"/>
          <w:szCs w:val="26"/>
          <w:highlight w:val="white"/>
        </w:rPr>
      </w:r>
    </w:p>
    <w:p>
      <w:pPr>
        <w:pStyle w:val="862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ПУБЛИКАЦИЯ:</w:t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  <w:r>
        <w:rPr>
          <w:rFonts w:ascii="Times New Roman" w:hAnsi="Times New Roman" w:cs="Times New Roman"/>
          <w:b/>
          <w:sz w:val="26"/>
          <w:szCs w:val="26"/>
          <w:u w:val="single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Настоящи</w:t>
      </w:r>
      <w:r>
        <w:rPr>
          <w:rFonts w:ascii="Times New Roman" w:hAnsi="Times New Roman" w:cs="Times New Roman"/>
          <w:sz w:val="26"/>
          <w:szCs w:val="26"/>
        </w:rPr>
        <w:t xml:space="preserve">й протокол заседания Закупочной комиссии подлежит опубликованию: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•</w:t>
      </w:r>
      <w:r>
        <w:rPr>
          <w:rFonts w:ascii="Times New Roman" w:hAnsi="Times New Roman" w:cs="Times New Roman"/>
          <w:sz w:val="26"/>
          <w:szCs w:val="26"/>
        </w:rPr>
        <w:tab/>
        <w:t xml:space="preserve">в ЕИС «www.zakupki.gov.ru» не позднее чем через три дня со дня его подписания,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62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  <w:highlight w:val="white"/>
        </w:rPr>
      </w:pPr>
      <w:r>
        <w:rPr>
          <w:rFonts w:ascii="Times New Roman" w:hAnsi="Times New Roman" w:cs="Times New Roman"/>
          <w:sz w:val="26"/>
          <w:szCs w:val="26"/>
        </w:rPr>
        <w:t xml:space="preserve">•</w:t>
      </w:r>
      <w:r>
        <w:rPr>
          <w:rFonts w:ascii="Times New Roman" w:hAnsi="Times New Roman" w:cs="Times New Roman"/>
          <w:sz w:val="26"/>
          <w:szCs w:val="26"/>
        </w:rPr>
        <w:tab/>
        <w:t xml:space="preserve">на сай</w:t>
      </w:r>
      <w:r>
        <w:rPr>
          <w:rFonts w:ascii="Times New Roman" w:hAnsi="Times New Roman" w:cs="Times New Roman"/>
          <w:sz w:val="26"/>
          <w:szCs w:val="26"/>
          <w:highlight w:val="white"/>
        </w:rPr>
        <w:t xml:space="preserve">те ЭТП</w:t>
      </w:r>
      <w:r>
        <w:rPr>
          <w:rFonts w:ascii="Times New Roman" w:hAnsi="Times New Roman" w:cs="Times New Roman"/>
          <w:sz w:val="26"/>
          <w:szCs w:val="26"/>
          <w:highlight w:val="white"/>
        </w:rPr>
        <w:t xml:space="preserve"> «roseltorg.ru</w:t>
      </w:r>
      <w:r>
        <w:rPr>
          <w:rFonts w:ascii="Times New Roman" w:hAnsi="Times New Roman" w:cs="Times New Roman"/>
          <w:sz w:val="26"/>
          <w:szCs w:val="26"/>
          <w:highlight w:val="white"/>
        </w:rPr>
        <w:t xml:space="preserve">».</w:t>
      </w:r>
      <w:r>
        <w:rPr>
          <w:rFonts w:ascii="Times New Roman" w:hAnsi="Times New Roman" w:cs="Times New Roman"/>
          <w:sz w:val="26"/>
          <w:szCs w:val="26"/>
          <w:highlight w:val="white"/>
        </w:rPr>
      </w:r>
      <w:r>
        <w:rPr>
          <w:rFonts w:ascii="Times New Roman" w:hAnsi="Times New Roman" w:cs="Times New Roman"/>
          <w:sz w:val="26"/>
          <w:szCs w:val="26"/>
          <w:highlight w:val="white"/>
        </w:rPr>
      </w:r>
    </w:p>
    <w:p>
      <w:pPr>
        <w:pStyle w:val="862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71"/>
        <w:ind w:right="-140"/>
        <w:jc w:val="both"/>
        <w:spacing w:line="19" w:lineRule="atLeast"/>
        <w:widowControl w:val="off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</w:r>
      <w:r>
        <w:rPr>
          <w:b/>
          <w:bCs/>
          <w:sz w:val="22"/>
          <w:szCs w:val="22"/>
          <w:u w:val="single"/>
        </w:rPr>
      </w:r>
      <w:r>
        <w:rPr>
          <w:b/>
          <w:bCs/>
          <w:sz w:val="22"/>
          <w:szCs w:val="22"/>
          <w:u w:val="single"/>
        </w:rPr>
      </w:r>
    </w:p>
    <w:p>
      <w:pPr>
        <w:pStyle w:val="871"/>
        <w:ind w:right="-140"/>
        <w:jc w:val="both"/>
        <w:spacing w:line="19" w:lineRule="atLeast"/>
        <w:widowControl w:val="off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 xml:space="preserve">ПРОТОКОЛ ПОДПИСАЛИ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870"/>
        <w:ind w:left="0"/>
        <w:jc w:val="both"/>
        <w:keepLines/>
        <w:spacing w:line="19" w:lineRule="atLeas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Ответственный секретарь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keepNext/>
        <w:spacing w:line="19" w:lineRule="atLeast"/>
        <w:tabs>
          <w:tab w:val="left" w:pos="284" w:leader="none"/>
          <w:tab w:val="left" w:pos="8364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(без права голоса):                                               В.О. Куманев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862"/>
        <w:ind w:left="0"/>
        <w:jc w:val="both"/>
        <w:spacing w:after="0" w:line="240" w:lineRule="auto"/>
        <w:widowControl w:val="o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sectPr>
      <w:footnotePr/>
      <w:endnotePr/>
      <w:type w:val="nextPage"/>
      <w:pgSz w:w="11907" w:h="16840" w:orient="portrait"/>
      <w:pgMar w:top="794" w:right="567" w:bottom="964" w:left="1077" w:header="57" w:footer="567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Lucida Sans Unicode">
    <w:panose1 w:val="020B060303080402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5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1633" w:hanging="106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tab"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3" w:default="1">
    <w:name w:val="Normal"/>
    <w:qFormat/>
  </w:style>
  <w:style w:type="paragraph" w:styleId="664">
    <w:name w:val="Heading 1"/>
    <w:basedOn w:val="663"/>
    <w:next w:val="663"/>
    <w:link w:val="694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65">
    <w:name w:val="Heading 2"/>
    <w:basedOn w:val="663"/>
    <w:next w:val="663"/>
    <w:link w:val="695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66">
    <w:name w:val="Heading 3"/>
    <w:basedOn w:val="663"/>
    <w:next w:val="663"/>
    <w:link w:val="696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67">
    <w:name w:val="Heading 4"/>
    <w:basedOn w:val="663"/>
    <w:next w:val="663"/>
    <w:link w:val="697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8">
    <w:name w:val="Heading 5"/>
    <w:basedOn w:val="663"/>
    <w:next w:val="663"/>
    <w:link w:val="698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9">
    <w:name w:val="Heading 6"/>
    <w:basedOn w:val="663"/>
    <w:next w:val="663"/>
    <w:link w:val="699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70">
    <w:name w:val="Heading 7"/>
    <w:basedOn w:val="663"/>
    <w:next w:val="663"/>
    <w:link w:val="700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71">
    <w:name w:val="Heading 8"/>
    <w:basedOn w:val="663"/>
    <w:next w:val="663"/>
    <w:link w:val="701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72">
    <w:name w:val="Heading 9"/>
    <w:basedOn w:val="663"/>
    <w:next w:val="663"/>
    <w:link w:val="702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 w:default="1">
    <w:name w:val="Default Paragraph Font"/>
    <w:uiPriority w:val="1"/>
    <w:semiHidden/>
    <w:unhideWhenUsed/>
  </w:style>
  <w:style w:type="table" w:styleId="67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5" w:default="1">
    <w:name w:val="No List"/>
    <w:uiPriority w:val="99"/>
    <w:semiHidden/>
    <w:unhideWhenUsed/>
  </w:style>
  <w:style w:type="character" w:styleId="676" w:customStyle="1">
    <w:name w:val="Heading 1 Char"/>
    <w:basedOn w:val="673"/>
    <w:uiPriority w:val="9"/>
    <w:rPr>
      <w:rFonts w:ascii="Arial" w:hAnsi="Arial" w:eastAsia="Arial" w:cs="Arial"/>
      <w:sz w:val="40"/>
      <w:szCs w:val="40"/>
    </w:rPr>
  </w:style>
  <w:style w:type="character" w:styleId="677" w:customStyle="1">
    <w:name w:val="Heading 2 Char"/>
    <w:basedOn w:val="673"/>
    <w:uiPriority w:val="9"/>
    <w:rPr>
      <w:rFonts w:ascii="Arial" w:hAnsi="Arial" w:eastAsia="Arial" w:cs="Arial"/>
      <w:sz w:val="34"/>
    </w:rPr>
  </w:style>
  <w:style w:type="character" w:styleId="678" w:customStyle="1">
    <w:name w:val="Heading 3 Char"/>
    <w:basedOn w:val="673"/>
    <w:uiPriority w:val="9"/>
    <w:rPr>
      <w:rFonts w:ascii="Arial" w:hAnsi="Arial" w:eastAsia="Arial" w:cs="Arial"/>
      <w:sz w:val="30"/>
      <w:szCs w:val="30"/>
    </w:rPr>
  </w:style>
  <w:style w:type="character" w:styleId="679" w:customStyle="1">
    <w:name w:val="Heading 4 Char"/>
    <w:basedOn w:val="673"/>
    <w:uiPriority w:val="9"/>
    <w:rPr>
      <w:rFonts w:ascii="Arial" w:hAnsi="Arial" w:eastAsia="Arial" w:cs="Arial"/>
      <w:b/>
      <w:bCs/>
      <w:sz w:val="26"/>
      <w:szCs w:val="26"/>
    </w:rPr>
  </w:style>
  <w:style w:type="character" w:styleId="680" w:customStyle="1">
    <w:name w:val="Heading 5 Char"/>
    <w:basedOn w:val="673"/>
    <w:uiPriority w:val="9"/>
    <w:rPr>
      <w:rFonts w:ascii="Arial" w:hAnsi="Arial" w:eastAsia="Arial" w:cs="Arial"/>
      <w:b/>
      <w:bCs/>
      <w:sz w:val="24"/>
      <w:szCs w:val="24"/>
    </w:rPr>
  </w:style>
  <w:style w:type="character" w:styleId="681" w:customStyle="1">
    <w:name w:val="Heading 6 Char"/>
    <w:basedOn w:val="673"/>
    <w:uiPriority w:val="9"/>
    <w:rPr>
      <w:rFonts w:ascii="Arial" w:hAnsi="Arial" w:eastAsia="Arial" w:cs="Arial"/>
      <w:b/>
      <w:bCs/>
      <w:sz w:val="22"/>
      <w:szCs w:val="22"/>
    </w:rPr>
  </w:style>
  <w:style w:type="character" w:styleId="682" w:customStyle="1">
    <w:name w:val="Heading 7 Char"/>
    <w:basedOn w:val="67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3" w:customStyle="1">
    <w:name w:val="Heading 8 Char"/>
    <w:basedOn w:val="673"/>
    <w:uiPriority w:val="9"/>
    <w:rPr>
      <w:rFonts w:ascii="Arial" w:hAnsi="Arial" w:eastAsia="Arial" w:cs="Arial"/>
      <w:i/>
      <w:iCs/>
      <w:sz w:val="22"/>
      <w:szCs w:val="22"/>
    </w:rPr>
  </w:style>
  <w:style w:type="character" w:styleId="684" w:customStyle="1">
    <w:name w:val="Heading 9 Char"/>
    <w:basedOn w:val="673"/>
    <w:uiPriority w:val="9"/>
    <w:rPr>
      <w:rFonts w:ascii="Arial" w:hAnsi="Arial" w:eastAsia="Arial" w:cs="Arial"/>
      <w:i/>
      <w:iCs/>
      <w:sz w:val="21"/>
      <w:szCs w:val="21"/>
    </w:rPr>
  </w:style>
  <w:style w:type="character" w:styleId="685" w:customStyle="1">
    <w:name w:val="Title Char"/>
    <w:basedOn w:val="673"/>
    <w:uiPriority w:val="10"/>
    <w:rPr>
      <w:sz w:val="48"/>
      <w:szCs w:val="48"/>
    </w:rPr>
  </w:style>
  <w:style w:type="character" w:styleId="686" w:customStyle="1">
    <w:name w:val="Subtitle Char"/>
    <w:basedOn w:val="673"/>
    <w:uiPriority w:val="11"/>
    <w:rPr>
      <w:sz w:val="24"/>
      <w:szCs w:val="24"/>
    </w:rPr>
  </w:style>
  <w:style w:type="character" w:styleId="687" w:customStyle="1">
    <w:name w:val="Quote Char"/>
    <w:uiPriority w:val="29"/>
    <w:rPr>
      <w:i/>
    </w:rPr>
  </w:style>
  <w:style w:type="character" w:styleId="688" w:customStyle="1">
    <w:name w:val="Intense Quote Char"/>
    <w:uiPriority w:val="30"/>
    <w:rPr>
      <w:i/>
    </w:rPr>
  </w:style>
  <w:style w:type="character" w:styleId="689" w:customStyle="1">
    <w:name w:val="Header Char"/>
    <w:basedOn w:val="673"/>
    <w:uiPriority w:val="99"/>
  </w:style>
  <w:style w:type="character" w:styleId="690" w:customStyle="1">
    <w:name w:val="Footer Char"/>
    <w:basedOn w:val="673"/>
    <w:uiPriority w:val="99"/>
  </w:style>
  <w:style w:type="character" w:styleId="691" w:customStyle="1">
    <w:name w:val="Caption Char"/>
    <w:basedOn w:val="673"/>
    <w:uiPriority w:val="35"/>
    <w:rPr>
      <w:b/>
      <w:bCs/>
      <w:color w:val="4f81bd" w:themeColor="accent1"/>
      <w:sz w:val="18"/>
      <w:szCs w:val="18"/>
    </w:rPr>
  </w:style>
  <w:style w:type="character" w:styleId="692" w:customStyle="1">
    <w:name w:val="Footnote Text Char"/>
    <w:uiPriority w:val="99"/>
    <w:rPr>
      <w:sz w:val="18"/>
    </w:rPr>
  </w:style>
  <w:style w:type="character" w:styleId="693" w:customStyle="1">
    <w:name w:val="Endnote Text Char"/>
    <w:uiPriority w:val="99"/>
    <w:rPr>
      <w:sz w:val="20"/>
    </w:rPr>
  </w:style>
  <w:style w:type="character" w:styleId="694" w:customStyle="1">
    <w:name w:val="Заголовок 1 Знак"/>
    <w:basedOn w:val="673"/>
    <w:link w:val="664"/>
    <w:uiPriority w:val="9"/>
    <w:rPr>
      <w:rFonts w:ascii="Arial" w:hAnsi="Arial" w:eastAsia="Arial" w:cs="Arial"/>
      <w:sz w:val="40"/>
      <w:szCs w:val="40"/>
    </w:rPr>
  </w:style>
  <w:style w:type="character" w:styleId="695" w:customStyle="1">
    <w:name w:val="Заголовок 2 Знак"/>
    <w:basedOn w:val="673"/>
    <w:link w:val="665"/>
    <w:uiPriority w:val="9"/>
    <w:rPr>
      <w:rFonts w:ascii="Arial" w:hAnsi="Arial" w:eastAsia="Arial" w:cs="Arial"/>
      <w:sz w:val="34"/>
    </w:rPr>
  </w:style>
  <w:style w:type="character" w:styleId="696" w:customStyle="1">
    <w:name w:val="Заголовок 3 Знак"/>
    <w:basedOn w:val="673"/>
    <w:link w:val="666"/>
    <w:uiPriority w:val="9"/>
    <w:rPr>
      <w:rFonts w:ascii="Arial" w:hAnsi="Arial" w:eastAsia="Arial" w:cs="Arial"/>
      <w:sz w:val="30"/>
      <w:szCs w:val="30"/>
    </w:rPr>
  </w:style>
  <w:style w:type="character" w:styleId="697" w:customStyle="1">
    <w:name w:val="Заголовок 4 Знак"/>
    <w:basedOn w:val="673"/>
    <w:link w:val="667"/>
    <w:uiPriority w:val="9"/>
    <w:rPr>
      <w:rFonts w:ascii="Arial" w:hAnsi="Arial" w:eastAsia="Arial" w:cs="Arial"/>
      <w:b/>
      <w:bCs/>
      <w:sz w:val="26"/>
      <w:szCs w:val="26"/>
    </w:rPr>
  </w:style>
  <w:style w:type="character" w:styleId="698" w:customStyle="1">
    <w:name w:val="Заголовок 5 Знак"/>
    <w:basedOn w:val="673"/>
    <w:link w:val="668"/>
    <w:uiPriority w:val="9"/>
    <w:rPr>
      <w:rFonts w:ascii="Arial" w:hAnsi="Arial" w:eastAsia="Arial" w:cs="Arial"/>
      <w:b/>
      <w:bCs/>
      <w:sz w:val="24"/>
      <w:szCs w:val="24"/>
    </w:rPr>
  </w:style>
  <w:style w:type="character" w:styleId="699" w:customStyle="1">
    <w:name w:val="Заголовок 6 Знак"/>
    <w:basedOn w:val="673"/>
    <w:link w:val="669"/>
    <w:uiPriority w:val="9"/>
    <w:rPr>
      <w:rFonts w:ascii="Arial" w:hAnsi="Arial" w:eastAsia="Arial" w:cs="Arial"/>
      <w:b/>
      <w:bCs/>
      <w:sz w:val="22"/>
      <w:szCs w:val="22"/>
    </w:rPr>
  </w:style>
  <w:style w:type="character" w:styleId="700" w:customStyle="1">
    <w:name w:val="Заголовок 7 Знак"/>
    <w:basedOn w:val="673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01" w:customStyle="1">
    <w:name w:val="Заголовок 8 Знак"/>
    <w:basedOn w:val="673"/>
    <w:link w:val="671"/>
    <w:uiPriority w:val="9"/>
    <w:rPr>
      <w:rFonts w:ascii="Arial" w:hAnsi="Arial" w:eastAsia="Arial" w:cs="Arial"/>
      <w:i/>
      <w:iCs/>
      <w:sz w:val="22"/>
      <w:szCs w:val="22"/>
    </w:rPr>
  </w:style>
  <w:style w:type="character" w:styleId="702" w:customStyle="1">
    <w:name w:val="Заголовок 9 Знак"/>
    <w:basedOn w:val="673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703">
    <w:name w:val="No Spacing"/>
    <w:uiPriority w:val="1"/>
    <w:qFormat/>
    <w:pPr>
      <w:spacing w:after="0" w:line="240" w:lineRule="auto"/>
    </w:pPr>
  </w:style>
  <w:style w:type="paragraph" w:styleId="704">
    <w:name w:val="Title"/>
    <w:basedOn w:val="663"/>
    <w:next w:val="663"/>
    <w:link w:val="705"/>
    <w:uiPriority w:val="10"/>
    <w:qFormat/>
    <w:pPr>
      <w:contextualSpacing/>
      <w:spacing w:before="300"/>
    </w:pPr>
    <w:rPr>
      <w:sz w:val="48"/>
      <w:szCs w:val="48"/>
    </w:rPr>
  </w:style>
  <w:style w:type="character" w:styleId="705" w:customStyle="1">
    <w:name w:val="Заголовок Знак"/>
    <w:basedOn w:val="673"/>
    <w:link w:val="704"/>
    <w:uiPriority w:val="10"/>
    <w:rPr>
      <w:sz w:val="48"/>
      <w:szCs w:val="48"/>
    </w:rPr>
  </w:style>
  <w:style w:type="paragraph" w:styleId="706">
    <w:name w:val="Subtitle"/>
    <w:basedOn w:val="663"/>
    <w:next w:val="663"/>
    <w:link w:val="707"/>
    <w:uiPriority w:val="11"/>
    <w:qFormat/>
    <w:pPr>
      <w:spacing w:before="200"/>
    </w:pPr>
    <w:rPr>
      <w:sz w:val="24"/>
      <w:szCs w:val="24"/>
    </w:rPr>
  </w:style>
  <w:style w:type="character" w:styleId="707" w:customStyle="1">
    <w:name w:val="Подзаголовок Знак"/>
    <w:basedOn w:val="673"/>
    <w:link w:val="706"/>
    <w:uiPriority w:val="11"/>
    <w:rPr>
      <w:sz w:val="24"/>
      <w:szCs w:val="24"/>
    </w:rPr>
  </w:style>
  <w:style w:type="paragraph" w:styleId="708">
    <w:name w:val="Quote"/>
    <w:basedOn w:val="663"/>
    <w:next w:val="663"/>
    <w:link w:val="709"/>
    <w:uiPriority w:val="29"/>
    <w:qFormat/>
    <w:pPr>
      <w:ind w:left="720" w:right="720"/>
    </w:pPr>
    <w:rPr>
      <w:i/>
    </w:rPr>
  </w:style>
  <w:style w:type="character" w:styleId="709" w:customStyle="1">
    <w:name w:val="Цитата 2 Знак"/>
    <w:link w:val="708"/>
    <w:uiPriority w:val="29"/>
    <w:rPr>
      <w:i/>
    </w:rPr>
  </w:style>
  <w:style w:type="paragraph" w:styleId="710">
    <w:name w:val="Intense Quote"/>
    <w:basedOn w:val="663"/>
    <w:next w:val="663"/>
    <w:link w:val="711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1" w:customStyle="1">
    <w:name w:val="Выделенная цитата Знак"/>
    <w:link w:val="710"/>
    <w:uiPriority w:val="30"/>
    <w:rPr>
      <w:i/>
    </w:rPr>
  </w:style>
  <w:style w:type="paragraph" w:styleId="712">
    <w:name w:val="Header"/>
    <w:basedOn w:val="663"/>
    <w:link w:val="71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3" w:customStyle="1">
    <w:name w:val="Верхний колонтитул Знак"/>
    <w:basedOn w:val="673"/>
    <w:link w:val="712"/>
    <w:uiPriority w:val="99"/>
  </w:style>
  <w:style w:type="paragraph" w:styleId="714">
    <w:name w:val="Footer"/>
    <w:basedOn w:val="663"/>
    <w:link w:val="71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5" w:customStyle="1">
    <w:name w:val="Нижний колонтитул Знак"/>
    <w:basedOn w:val="673"/>
    <w:link w:val="714"/>
    <w:uiPriority w:val="99"/>
  </w:style>
  <w:style w:type="paragraph" w:styleId="716">
    <w:name w:val="Caption"/>
    <w:basedOn w:val="663"/>
    <w:next w:val="663"/>
    <w:link w:val="717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styleId="717" w:customStyle="1">
    <w:name w:val="Название объекта Знак"/>
    <w:basedOn w:val="673"/>
    <w:link w:val="716"/>
    <w:uiPriority w:val="35"/>
    <w:rPr>
      <w:b/>
      <w:bCs/>
      <w:color w:val="4f81bd" w:themeColor="accent1"/>
      <w:sz w:val="18"/>
      <w:szCs w:val="18"/>
    </w:rPr>
  </w:style>
  <w:style w:type="table" w:styleId="718">
    <w:name w:val="Table Grid"/>
    <w:basedOn w:val="67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19" w:customStyle="1">
    <w:name w:val="Table Grid Light"/>
    <w:basedOn w:val="67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20">
    <w:name w:val="Plain Table 1"/>
    <w:basedOn w:val="67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1">
    <w:name w:val="Plain Table 2"/>
    <w:basedOn w:val="67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2">
    <w:name w:val="Plain Table 3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3">
    <w:name w:val="Plain Table 4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Plain Table 5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5">
    <w:name w:val="Grid Table 1 Light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 w:customStyle="1">
    <w:name w:val="Grid Table 1 Light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 w:customStyle="1">
    <w:name w:val="Grid Table 1 Light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 w:customStyle="1">
    <w:name w:val="Grid Table 1 Light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 w:customStyle="1">
    <w:name w:val="Grid Table 1 Light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 w:customStyle="1">
    <w:name w:val="Grid Table 1 Light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 w:customStyle="1">
    <w:name w:val="Grid Table 1 Light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 w:customStyle="1">
    <w:name w:val="Grid Table 2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 w:customStyle="1">
    <w:name w:val="Grid Table 2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2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 w:customStyle="1">
    <w:name w:val="Grid Table 2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 w:customStyle="1">
    <w:name w:val="Grid Table 2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 w:customStyle="1">
    <w:name w:val="Grid Table 2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 w:customStyle="1">
    <w:name w:val="Grid Table 3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3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3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3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3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3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4"/>
    <w:basedOn w:val="6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7" w:customStyle="1">
    <w:name w:val="Grid Table 4 - Accent 1"/>
    <w:basedOn w:val="6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748" w:customStyle="1">
    <w:name w:val="Grid Table 4 - Accent 2"/>
    <w:basedOn w:val="6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749" w:customStyle="1">
    <w:name w:val="Grid Table 4 - Accent 3"/>
    <w:basedOn w:val="6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750" w:customStyle="1">
    <w:name w:val="Grid Table 4 - Accent 4"/>
    <w:basedOn w:val="6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751" w:customStyle="1">
    <w:name w:val="Grid Table 4 - Accent 5"/>
    <w:basedOn w:val="6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752" w:customStyle="1">
    <w:name w:val="Grid Table 4 - Accent 6"/>
    <w:basedOn w:val="6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753">
    <w:name w:val="Grid Table 5 Dark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54" w:customStyle="1">
    <w:name w:val="Grid Table 5 Dark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755" w:customStyle="1">
    <w:name w:val="Grid Table 5 Dark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756" w:customStyle="1">
    <w:name w:val="Grid Table 5 Dark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757" w:customStyle="1">
    <w:name w:val="Grid Table 5 Dark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758" w:customStyle="1">
    <w:name w:val="Grid Table 5 Dark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759" w:customStyle="1">
    <w:name w:val="Grid Table 5 Dark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760">
    <w:name w:val="Grid Table 6 Colorful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61" w:customStyle="1">
    <w:name w:val="Grid Table 6 Colorful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762" w:customStyle="1">
    <w:name w:val="Grid Table 6 Colorful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763" w:customStyle="1">
    <w:name w:val="Grid Table 6 Colorful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764" w:customStyle="1">
    <w:name w:val="Grid Table 6 Colorful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765" w:customStyle="1">
    <w:name w:val="Grid Table 6 Colorful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6" w:customStyle="1">
    <w:name w:val="Grid Table 6 Colorful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767">
    <w:name w:val="Grid Table 7 Colorful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8" w:customStyle="1">
    <w:name w:val="Grid Table 7 Colorful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69" w:customStyle="1">
    <w:name w:val="Grid Table 7 Colorful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0" w:customStyle="1">
    <w:name w:val="Grid Table 7 Colorful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1" w:customStyle="1">
    <w:name w:val="Grid Table 7 Colorful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2" w:customStyle="1">
    <w:name w:val="Grid Table 7 Colorful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3" w:customStyle="1">
    <w:name w:val="Grid Table 7 Colorful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74">
    <w:name w:val="List Table 1 Light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List Table 1 Light - Accent 1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List Table 1 Light - Accent 2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List Table 1 Light - Accent 3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List Table 1 Light - Accent 4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List Table 1 Light - Accent 5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List Table 1 Light - Accent 6"/>
    <w:basedOn w:val="6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82" w:customStyle="1">
    <w:name w:val="List Table 2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783" w:customStyle="1">
    <w:name w:val="List Table 2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784" w:customStyle="1">
    <w:name w:val="List Table 2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785" w:customStyle="1">
    <w:name w:val="List Table 2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786" w:customStyle="1">
    <w:name w:val="List Table 2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787" w:customStyle="1">
    <w:name w:val="List Table 2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788">
    <w:name w:val="List Table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List Table 3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List Table 3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List Table 3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List Table 3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List Table 3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List Table 3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List Table 4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List Table 4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List Table 4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4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4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4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5 Dark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3" w:customStyle="1">
    <w:name w:val="List Table 5 Dark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4" w:customStyle="1">
    <w:name w:val="List Table 5 Dark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5" w:customStyle="1">
    <w:name w:val="List Table 5 Dark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6" w:customStyle="1">
    <w:name w:val="List Table 5 Dark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7" w:customStyle="1">
    <w:name w:val="List Table 5 Dark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8" w:customStyle="1">
    <w:name w:val="List Table 5 Dark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09">
    <w:name w:val="List Table 6 Colorful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10" w:customStyle="1">
    <w:name w:val="List Table 6 Colorful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11" w:customStyle="1">
    <w:name w:val="List Table 6 Colorful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12" w:customStyle="1">
    <w:name w:val="List Table 6 Colorful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13" w:customStyle="1">
    <w:name w:val="List Table 6 Colorful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14" w:customStyle="1">
    <w:name w:val="List Table 6 Colorful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15" w:customStyle="1">
    <w:name w:val="List Table 6 Colorful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16">
    <w:name w:val="List Table 7 Colorful"/>
    <w:basedOn w:val="6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7" w:customStyle="1">
    <w:name w:val="List Table 7 Colorful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8" w:customStyle="1">
    <w:name w:val="List Table 7 Colorful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19" w:customStyle="1">
    <w:name w:val="List Table 7 Colorful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0" w:customStyle="1">
    <w:name w:val="List Table 7 Colorful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1" w:customStyle="1">
    <w:name w:val="List Table 7 Colorful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2" w:customStyle="1">
    <w:name w:val="List Table 7 Colorful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23" w:customStyle="1">
    <w:name w:val="Lined - Accent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24" w:customStyle="1">
    <w:name w:val="Lined - Accent 1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25" w:customStyle="1">
    <w:name w:val="Lined - Accent 2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26" w:customStyle="1">
    <w:name w:val="Lined - Accent 3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27" w:customStyle="1">
    <w:name w:val="Lined - Accent 4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28" w:customStyle="1">
    <w:name w:val="Lined - Accent 5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29" w:customStyle="1">
    <w:name w:val="Lined - Accent 6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0" w:customStyle="1">
    <w:name w:val="Bordered &amp; Lined - Accent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1" w:customStyle="1">
    <w:name w:val="Bordered &amp; Lined - Accent 1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32" w:customStyle="1">
    <w:name w:val="Bordered &amp; Lined - Accent 2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33" w:customStyle="1">
    <w:name w:val="Bordered &amp; Lined - Accent 3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34" w:customStyle="1">
    <w:name w:val="Bordered &amp; Lined - Accent 4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35" w:customStyle="1">
    <w:name w:val="Bordered &amp; Lined - Accent 5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36" w:customStyle="1">
    <w:name w:val="Bordered &amp; Lined - Accent 6"/>
    <w:basedOn w:val="674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37" w:customStyle="1">
    <w:name w:val="Bordered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38" w:customStyle="1">
    <w:name w:val="Bordered - Accent 1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39" w:customStyle="1">
    <w:name w:val="Bordered - Accent 2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40" w:customStyle="1">
    <w:name w:val="Bordered - Accent 3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41" w:customStyle="1">
    <w:name w:val="Bordered - Accent 4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42" w:customStyle="1">
    <w:name w:val="Bordered - Accent 5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43" w:customStyle="1">
    <w:name w:val="Bordered - Accent 6"/>
    <w:basedOn w:val="6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844">
    <w:name w:val="Hyperlink"/>
    <w:uiPriority w:val="99"/>
    <w:unhideWhenUsed/>
    <w:rPr>
      <w:color w:val="0000ff" w:themeColor="hyperlink"/>
      <w:u w:val="single"/>
    </w:rPr>
  </w:style>
  <w:style w:type="paragraph" w:styleId="845">
    <w:name w:val="footnote text"/>
    <w:basedOn w:val="663"/>
    <w:link w:val="846"/>
    <w:uiPriority w:val="99"/>
    <w:semiHidden/>
    <w:unhideWhenUsed/>
    <w:pPr>
      <w:spacing w:after="40" w:line="240" w:lineRule="auto"/>
    </w:pPr>
    <w:rPr>
      <w:sz w:val="18"/>
    </w:rPr>
  </w:style>
  <w:style w:type="character" w:styleId="846" w:customStyle="1">
    <w:name w:val="Текст сноски Знак"/>
    <w:link w:val="845"/>
    <w:uiPriority w:val="99"/>
    <w:rPr>
      <w:sz w:val="18"/>
    </w:rPr>
  </w:style>
  <w:style w:type="character" w:styleId="847">
    <w:name w:val="footnote reference"/>
    <w:basedOn w:val="673"/>
    <w:uiPriority w:val="99"/>
    <w:unhideWhenUsed/>
    <w:rPr>
      <w:vertAlign w:val="superscript"/>
    </w:rPr>
  </w:style>
  <w:style w:type="paragraph" w:styleId="848">
    <w:name w:val="endnote text"/>
    <w:basedOn w:val="663"/>
    <w:link w:val="849"/>
    <w:uiPriority w:val="99"/>
    <w:semiHidden/>
    <w:unhideWhenUsed/>
    <w:pPr>
      <w:spacing w:after="0" w:line="240" w:lineRule="auto"/>
    </w:pPr>
    <w:rPr>
      <w:sz w:val="20"/>
    </w:rPr>
  </w:style>
  <w:style w:type="character" w:styleId="849" w:customStyle="1">
    <w:name w:val="Текст концевой сноски Знак"/>
    <w:link w:val="848"/>
    <w:uiPriority w:val="99"/>
    <w:rPr>
      <w:sz w:val="20"/>
    </w:rPr>
  </w:style>
  <w:style w:type="character" w:styleId="850">
    <w:name w:val="endnote reference"/>
    <w:basedOn w:val="673"/>
    <w:uiPriority w:val="99"/>
    <w:semiHidden/>
    <w:unhideWhenUsed/>
    <w:rPr>
      <w:vertAlign w:val="superscript"/>
    </w:rPr>
  </w:style>
  <w:style w:type="paragraph" w:styleId="851">
    <w:name w:val="toc 1"/>
    <w:basedOn w:val="663"/>
    <w:next w:val="663"/>
    <w:uiPriority w:val="39"/>
    <w:unhideWhenUsed/>
    <w:pPr>
      <w:spacing w:after="57"/>
    </w:pPr>
  </w:style>
  <w:style w:type="paragraph" w:styleId="852">
    <w:name w:val="toc 2"/>
    <w:basedOn w:val="663"/>
    <w:next w:val="663"/>
    <w:uiPriority w:val="39"/>
    <w:unhideWhenUsed/>
    <w:pPr>
      <w:ind w:left="283"/>
      <w:spacing w:after="57"/>
    </w:pPr>
  </w:style>
  <w:style w:type="paragraph" w:styleId="853">
    <w:name w:val="toc 3"/>
    <w:basedOn w:val="663"/>
    <w:next w:val="663"/>
    <w:uiPriority w:val="39"/>
    <w:unhideWhenUsed/>
    <w:pPr>
      <w:ind w:left="567"/>
      <w:spacing w:after="57"/>
    </w:pPr>
  </w:style>
  <w:style w:type="paragraph" w:styleId="854">
    <w:name w:val="toc 4"/>
    <w:basedOn w:val="663"/>
    <w:next w:val="663"/>
    <w:uiPriority w:val="39"/>
    <w:unhideWhenUsed/>
    <w:pPr>
      <w:ind w:left="850"/>
      <w:spacing w:after="57"/>
    </w:pPr>
  </w:style>
  <w:style w:type="paragraph" w:styleId="855">
    <w:name w:val="toc 5"/>
    <w:basedOn w:val="663"/>
    <w:next w:val="663"/>
    <w:uiPriority w:val="39"/>
    <w:unhideWhenUsed/>
    <w:pPr>
      <w:ind w:left="1134"/>
      <w:spacing w:after="57"/>
    </w:pPr>
  </w:style>
  <w:style w:type="paragraph" w:styleId="856">
    <w:name w:val="toc 6"/>
    <w:basedOn w:val="663"/>
    <w:next w:val="663"/>
    <w:uiPriority w:val="39"/>
    <w:unhideWhenUsed/>
    <w:pPr>
      <w:ind w:left="1417"/>
      <w:spacing w:after="57"/>
    </w:pPr>
  </w:style>
  <w:style w:type="paragraph" w:styleId="857">
    <w:name w:val="toc 7"/>
    <w:basedOn w:val="663"/>
    <w:next w:val="663"/>
    <w:uiPriority w:val="39"/>
    <w:unhideWhenUsed/>
    <w:pPr>
      <w:ind w:left="1701"/>
      <w:spacing w:after="57"/>
    </w:pPr>
  </w:style>
  <w:style w:type="paragraph" w:styleId="858">
    <w:name w:val="toc 8"/>
    <w:basedOn w:val="663"/>
    <w:next w:val="663"/>
    <w:uiPriority w:val="39"/>
    <w:unhideWhenUsed/>
    <w:pPr>
      <w:ind w:left="1984"/>
      <w:spacing w:after="57"/>
    </w:pPr>
  </w:style>
  <w:style w:type="paragraph" w:styleId="859">
    <w:name w:val="toc 9"/>
    <w:basedOn w:val="663"/>
    <w:next w:val="663"/>
    <w:uiPriority w:val="39"/>
    <w:unhideWhenUsed/>
    <w:pPr>
      <w:ind w:left="2268"/>
      <w:spacing w:after="57"/>
    </w:pPr>
  </w:style>
  <w:style w:type="paragraph" w:styleId="860">
    <w:name w:val="TOC Heading"/>
    <w:uiPriority w:val="39"/>
    <w:unhideWhenUsed/>
  </w:style>
  <w:style w:type="paragraph" w:styleId="861">
    <w:name w:val="table of figures"/>
    <w:basedOn w:val="663"/>
    <w:next w:val="663"/>
    <w:uiPriority w:val="99"/>
    <w:unhideWhenUsed/>
    <w:pPr>
      <w:spacing w:after="0"/>
    </w:pPr>
  </w:style>
  <w:style w:type="paragraph" w:styleId="862">
    <w:name w:val="List Paragraph"/>
    <w:basedOn w:val="663"/>
    <w:uiPriority w:val="34"/>
    <w:qFormat/>
    <w:pPr>
      <w:contextualSpacing/>
      <w:ind w:left="720"/>
    </w:pPr>
  </w:style>
  <w:style w:type="paragraph" w:styleId="863" w:customStyle="1">
    <w:name w:val="Обычный (веб)1"/>
    <w:uiPriority w:val="99"/>
    <w:unhideWhenUsed/>
    <w:pPr>
      <w:spacing w:before="100" w:beforeAutospacing="1" w:after="100" w:afterAutospacing="1" w:line="240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Times New Roman" w:hAnsi="Times New Roman" w:eastAsia="Times New Roman" w:cs="Times New Roman"/>
      <w:sz w:val="24"/>
      <w:szCs w:val="24"/>
    </w:rPr>
  </w:style>
  <w:style w:type="character" w:styleId="864" w:customStyle="1">
    <w:name w:val="Строгий1"/>
    <w:uiPriority w:val="22"/>
    <w:qFormat/>
    <w:rPr>
      <w:b/>
      <w:bCs/>
    </w:rPr>
  </w:style>
  <w:style w:type="paragraph" w:styleId="865" w:customStyle="1">
    <w:name w:val="List Number"/>
    <w:pPr>
      <w:contextualSpacing w:val="0"/>
      <w:ind w:left="0" w:right="0" w:firstLine="0"/>
      <w:jc w:val="both"/>
      <w:keepLines w:val="0"/>
      <w:keepNext w:val="0"/>
      <w:pageBreakBefore w:val="0"/>
      <w:spacing w:before="6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66" w:customStyle="1">
    <w:name w:val="Абзац списка,Нумерованый список,List Paragraph1"/>
    <w:uiPriority w:val="34"/>
    <w:qFormat/>
    <w:pPr>
      <w:contextualSpacing w:val="0"/>
      <w:ind w:left="708" w:right="0" w:firstLine="567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table" w:styleId="867" w:customStyle="1">
    <w:name w:val="Сетка таблицы1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hint="default"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  <w:tblPr>
      <w:tblStyleRowBandSize w:val="1"/>
      <w:tblStyleColBandSize w:val="1"/>
      <w:tblW w:w="0" w:type="auto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  <w:trPr>
      <w:cantSplit w:val="false"/>
      <w:jc w:val="left"/>
    </w:trPr>
    <w:tcPr>
      <w:tcW w:w="0" w:type="auto"/>
      <w:vAlign w:val="top"/>
      <w:vMerge w:val="restart"/>
      <w:hMerge w:val="restart"/>
    </w:tcPr>
  </w:style>
  <w:style w:type="paragraph" w:styleId="868" w:customStyle="1">
    <w:name w:val="Основной текст с отступом 2"/>
    <w:pPr>
      <w:contextualSpacing w:val="0"/>
      <w:ind w:left="0" w:right="0" w:firstLine="567"/>
      <w:jc w:val="both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69" w:customStyle="1">
    <w:name w:val="Table Contents"/>
    <w:basedOn w:val="672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/>
    </w:pPr>
    <w:rPr>
      <w:rFonts w:ascii="Times New Roman" w:hAnsi="Times New Roman" w:eastAsia="Lucida Sans Unicode" w:cs="Tahom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ru-RU"/>
      <w14:ligatures w14:val="none"/>
    </w:rPr>
  </w:style>
  <w:style w:type="paragraph" w:styleId="870" w:customStyle="1">
    <w:name w:val="Абзац списка;Маркер;List Paragraph;название;Bullet Number;Нумерованый список;Bullet List;FooterText;numbered;lp1;Абзац списка2;SL_Абзац списка;List Paragraph1;Абзац списка4;ПАРАГРАФ;f_Абзац 1;Абзац списка3;Абзац списка11;Текстовая;Абзац маркированнный;1"/>
    <w:basedOn w:val="672"/>
    <w:uiPriority w:val="34"/>
    <w:qFormat/>
    <w:pPr>
      <w:contextualSpacing/>
      <w:ind w:left="72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71" w:customStyle="1">
    <w:name w:val="Defaul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Р7-Офис/2025.2.2.831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mandel-sv</cp:lastModifiedBy>
  <cp:revision>9</cp:revision>
  <dcterms:created xsi:type="dcterms:W3CDTF">2025-09-17T10:36:00Z</dcterms:created>
  <dcterms:modified xsi:type="dcterms:W3CDTF">2025-12-15T11:32:19Z</dcterms:modified>
</cp:coreProperties>
</file>