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рассмотрения первых частей заявок на участие в процедуре</w:t>
      </w:r>
    </w:p>
    <w:p>
      <w:pPr>
        <w:jc w:val="center"/>
        <w:spacing w:after="0"/>
      </w:pPr>
      <w:r>
        <w:rPr>
          <w:b w:val="1"/>
          <w:bCs w:val="1"/>
        </w:rPr>
        <w:t xml:space="preserve">32515444701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«15» декабря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ТАМБОВСКОЕ ОБЛАСТНОЕ ГОСУДАРСТВЕННОЕ БЮДЖЕТНОЕ УЧРЕЖДЕНИЕ ЗДРАВООХРАНЕНИЯ "РАССКАЗОВСКАЯ ЦЕНТРАЛЬНАЯ РАЙОННАЯ БОЛЬНИЦА"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ТАМБОВСКОЕ ОБЛАСТНОЕ ГОСУДАРСТВЕННОЕ БЮДЖЕТНОЕ УЧРЕЖДЕНИЕ ЗДРАВООХРАНЕНИЯ "РАССКАЗОВСКАЯ ЦЕНТРАЛЬНАЯ РАЙОННАЯ БОЛЬНИЦА"</w:t>
      </w:r>
    </w:p>
    <w:p/>
    <w:p>
      <w:pPr/>
      <w:r>
        <w:rPr>
          <w:b w:val="1"/>
          <w:bCs w:val="1"/>
        </w:rPr>
        <w:t xml:space="preserve">Способ закупки: </w:t>
      </w:r>
    </w:p>
    <w:p>
      <w:pPr/>
      <w:r>
        <w:rPr>
          <w:b w:val="0"/>
          <w:bCs w:val="0"/>
        </w:rPr>
        <w:t xml:space="preserve">Аукцион в электронной форме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Поставка системы родовспоможения вакуумной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Поставка системы родовспоможения вакуумной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13 983.34 (с учетом НДС) в валюте - Российский рубль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«25» ноября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По окончании срока подачи заявок до «15» декабря 2025г. было подано 0 заявок от участников. 0 заявок отозвано.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0"/>
          <w:bCs w:val="0"/>
        </w:rPr>
        <w:t xml:space="preserve">Срок исполнения договора: </w:t>
      </w:r>
      <w:r>
        <w:rPr>
          <w:b w:val="0"/>
          <w:bCs w:val="0"/>
        </w:rPr>
        <w:t xml:space="preserve">-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Сведения об объеме закупаемых товаров, работ, услуг:</w:t>
      </w:r>
    </w:p>
    <w:tbl>
      <w:tblGrid>
        <w:gridCol w:w="2300" w:type="dxa"/>
        <w:gridCol w:w="2100" w:type="dxa"/>
        <w:gridCol w:w="2000" w:type="dxa"/>
        <w:gridCol w:w="1800" w:type="dxa"/>
        <w:gridCol w:w="2000" w:type="dxa"/>
      </w:tblGrid>
      <w:tblPr>
        <w:tblStyle w:val="style45464"/>
      </w:tblPr>
      <w:tr>
        <w:trPr>
          <w:cantSplit w:val="1"/>
        </w:trPr>
        <w:tc>
          <w:tcPr>
            <w:tcW w:w="23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ТРУ</w:t>
            </w:r>
          </w:p>
        </w:tc>
        <w:tc>
          <w:tcPr>
            <w:tcW w:w="2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Количество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Единица измерения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Код ОКПД2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Код ОКВЭД2</w:t>
            </w:r>
          </w:p>
        </w:tc>
      </w:tr>
      <w:tr>
        <w:trPr>
          <w:cantSplit w:val="1"/>
        </w:trPr>
        <w:tc>
          <w:tcPr>
            <w:tcW w:w="2300" w:type="dxa"/>
          </w:tcPr>
          <w:p>
            <w:pPr>
              <w:jc w:val="center"/>
            </w:pPr>
            <w:r>
              <w:rPr/>
              <w:t xml:space="preserve">Поставка системы родовспоможения вакуумной</w:t>
            </w:r>
          </w:p>
        </w:tc>
        <w:tc>
          <w:tcPr>
            <w:tcW w:w="21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Штука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>32.50.13.190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32.50</w:t>
            </w:r>
          </w:p>
        </w:tc>
      </w:tr>
    </w:tbl>
    <w:p>
      <w:pPr>
        <w:keepLines w:val="1"/>
        <w:spacing w:after="96"/>
        <w:numPr>
          <w:ilvl w:val="0"/>
          <w:numId w:val="4"/>
        </w:numPr>
      </w:pPr>
      <w:r>
        <w:rPr/>
        <w:t xml:space="preserve">Участниками была предоставлена следующая документация для проведения процедуры: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 процедуры на соответствие требованиям, установленным документацией, и приняла следующее решение:</w:t>
      </w:r>
    </w:p>
    <w:tbl>
      <w:tblGrid>
        <w:gridCol w:w="1600" w:type="dxa"/>
        <w:gridCol w:w="1600" w:type="dxa"/>
        <w:gridCol w:w="1600" w:type="dxa"/>
        <w:gridCol w:w="5000" w:type="dxa"/>
        <w:gridCol w:w="5000" w:type="dxa"/>
        <w:gridCol w:w="5000" w:type="dxa"/>
        <w:gridCol w:w="1500" w:type="dxa"/>
      </w:tblGrid>
      <w:tblPr>
        <w:tblStyle w:val="style62853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 в лоте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Номер заявки</w:t>
            </w:r>
          </w:p>
        </w:tc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Предложение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 о допуске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Итоговая оценка</w:t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медикаменты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Закупка признана несостоявшейся. Причина признания закупки несостоявшейся -</w:t>
      </w:r>
    </w:p>
    <w:tbl>
      <w:tblGrid>
        <w:gridCol w:w="10000" w:type="dxa"/>
      </w:tblGrid>
      <w:tblPr>
        <w:tblStyle w:val="style54993"/>
      </w:tblPr>
      <w:tr>
        <w:trPr>
          <w:cantSplit w:val="1"/>
        </w:trPr>
        <w:tc>
          <w:tcPr>
            <w:tcW w:w="10000" w:type="dxa"/>
          </w:tcPr>
          <w:p>
            <w:pPr>
              <w:jc w:val="left"/>
              <w:spacing w:after="0"/>
            </w:pPr>
            <w:r>
              <w:rPr/>
              <w:t xml:space="preserve">      Конкурентная закупка признана несостоявшейся в связи с тем, что не подано ни одной заявки на участие в закупке.</w:t>
            </w:r>
          </w:p>
        </w:tc>
      </w:tr>
    </w:tbl>
    <w:p>
      <w:pPr>
        <w:keepLines w:val="1"/>
        <w:spacing w:after="96"/>
        <w:numPr>
          <w:ilvl w:val="0"/>
          <w:numId w:val="4"/>
        </w:numPr>
      </w:pPr>
      <w:r>
        <w:rPr/>
        <w:t xml:space="preserve">Протокол рассмотрения первых частей заявок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7" w:history="1">
        <w:r>
          <w:t xml:space="preserve">https://corp.roseltorg.ru</w:t>
        </w:r>
      </w:hyperlink>
      <w:r>
        <w:rPr/>
        <w:t xml:space="preserve"> в сроки, предусмотренные №223-ФЗ и действующим Положением о закупках.</w:t>
      </w:r>
      <w:r>
        <w:rPr/>
        <w:t xml:space="preserve"/>
      </w:r>
    </w:p>
    <w:p>
      <w:pPr/>
      <w:r>
        <w:rPr>
          <w:b w:val="1"/>
          <w:bCs w:val="1"/>
        </w:rPr>
        <w:t xml:space="preserve">Члены комиссии, присутствующие на заседании:</w:t>
      </w:r>
    </w:p>
    <w:tbl>
      <w:tblGrid>
        <w:gridCol w:w="3300" w:type="dxa"/>
        <w:gridCol w:w="3400" w:type="dxa"/>
        <w:gridCol w:w="3300" w:type="dxa"/>
      </w:tblGrid>
      <w:tblPr>
        <w:tblStyle w:val="style27235"/>
      </w:tblP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Должность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</w:pPr>
            <w:r>
              <w:rPr>
                <w:b w:val="0"/>
                <w:bCs w:val="0"/>
              </w:rPr>
              <w:t xml:space="preserve"/>
            </w:r>
          </w:p>
        </w:tc>
        <w:tc>
          <w:tcPr>
            <w:tcW w:w="3300" w:type="dxa"/>
            <w:vAlign w:val="bottom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ФИО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Полухина Татьяна Геннадьевна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Степанова Олеся Михайловна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Герасимова Татьяна Владимировна</w:t>
            </w:r>
          </w:p>
        </w:tc>
      </w:tr>
      <w:tr>
        <w:trPr>
          <w:cantSplit w:val="1"/>
        </w:trPr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Сотрудник</w:t>
            </w:r>
          </w:p>
        </w:tc>
        <w:tc>
          <w:tcPr>
            <w:tcW w:w="34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_______________</w:t>
            </w:r>
          </w:p>
        </w:tc>
        <w:tc>
          <w:tcPr>
            <w:tcW w:w="3300" w:type="dxa"/>
            <w:vAlign w:val="bottom"/>
          </w:tcPr>
          <w:p>
            <w:pPr>
              <w:jc w:val="center"/>
              <w:spacing w:after="0"/>
            </w:pPr>
            <w:r>
              <w:rPr/>
              <w:t xml:space="preserve">Лобанов Андрей Викторович</w:t>
            </w:r>
          </w:p>
        </w:tc>
      </w:tr>
    </w:tbl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рассмотрения первых частей заявок №32515444701 от 15.12.2025г.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7C7506BD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9A141C9A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45464">
    <w:name w:val="style45464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62853">
    <w:name w:val="style62853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54993">
    <w:name w:val="style54993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  <w:style w:type="table" w:customStyle="1" w:styleId="style27235">
    <w:name w:val="style27235"/>
    <w:uiPriority w:val="99"/>
    <w:tblPr>
      <w:tblW w:w="0" w:type="auto"/>
      <w:tblLayout w:type="autofit"/>
      <w:bidiVisual w:val="0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2025-12-15T14:35:17+03:00</dcterms:created>
  <dcterms:modified xsi:type="dcterms:W3CDTF">2025-12-15T14:35:17+03:00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