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0"/>
      </w:pPr>
      <w:r>
        <w:rPr>
          <w:b w:val="1"/>
          <w:bCs w:val="1"/>
        </w:rPr>
        <w:t xml:space="preserve">Протокол</w:t>
      </w:r>
    </w:p>
    <w:p>
      <w:pPr>
        <w:jc w:val="center"/>
        <w:spacing w:after="0"/>
      </w:pPr>
      <w:r>
        <w:rPr>
          <w:b w:val="1"/>
          <w:bCs w:val="1"/>
        </w:rPr>
        <w:t xml:space="preserve">рассмотрения заявок на участие в процедуре</w:t>
      </w:r>
    </w:p>
    <w:p>
      <w:pPr>
        <w:jc w:val="center"/>
        <w:spacing w:after="0"/>
      </w:pPr>
      <w:r>
        <w:rPr>
          <w:b w:val="1"/>
          <w:bCs w:val="1"/>
        </w:rPr>
        <w:t xml:space="preserve">32515464023</w:t>
      </w:r>
    </w:p>
    <w:tbl>
      <w:tblGrid>
        <w:gridCol w:w="5000" w:type="dxa"/>
        <w:gridCol w:w="5000" w:type="dxa"/>
      </w:tblGrid>
      <w:tr>
        <w:trPr/>
        <w:tc>
          <w:tcPr>
            <w:tcW w:w="5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«15» декабря 2025г.</w:t>
            </w:r>
          </w:p>
        </w:tc>
      </w:tr>
    </w:tbl>
    <w:p>
      <w:pPr/>
      <w:r>
        <w:rPr>
          <w:b w:val="1"/>
          <w:bCs w:val="1"/>
        </w:rPr>
        <w:t xml:space="preserve">Организатором является: </w:t>
      </w:r>
      <w:r>
        <w:rPr>
          <w:b w:val="0"/>
          <w:bCs w:val="0"/>
        </w:rPr>
        <w:t xml:space="preserve">ГОСУДАРСТВЕННОЕ АВТОНОМНОЕ УЧРЕЖДЕНИЕ ЗДРАВООХРАНЕНИЯ "БРЯНСКИЙ ОБЛАСТНОЙ КАРДИОЛОГИЧЕСКИЙ ДИСПАНСЕР"</w:t>
      </w:r>
      <w:br/>
      <w:r>
        <w:rPr>
          <w:b w:val="1"/>
          <w:bCs w:val="1"/>
        </w:rPr>
        <w:t xml:space="preserve">Заказчиком является: </w:t>
      </w:r>
      <w:r>
        <w:rPr>
          <w:b w:val="0"/>
          <w:bCs w:val="0"/>
        </w:rPr>
        <w:t xml:space="preserve">ГОСУДАРСТВЕННОЕ АВТОНОМНОЕ УЧРЕЖДЕНИЕ ЗДРАВООХРАНЕНИЯ "БРЯНСКИЙ ОБЛАСТНОЙ КАРДИОЛОГИЧЕСКИЙ ДИСПАНСЕР"</w:t>
      </w:r>
    </w:p>
    <w:p/>
    <w:p>
      <w:pPr/>
      <w:r>
        <w:rPr>
          <w:b w:val="1"/>
          <w:bCs w:val="1"/>
        </w:rPr>
        <w:t xml:space="preserve">Способ закупки: </w:t>
      </w:r>
    </w:p>
    <w:p>
      <w:pPr>
        <w:spacing w:after="0"/>
      </w:pPr>
      <w:r>
        <w:rPr>
          <w:b w:val="0"/>
          <w:bCs w:val="0"/>
        </w:rPr>
        <w:t xml:space="preserve">аукцион в электронной форме</w:t>
      </w:r>
    </w:p>
    <w:p>
      <w:pPr>
        <w:keepLines w:val="1"/>
        <w:spacing w:after="96"/>
        <w:numPr>
          <w:ilvl w:val="0"/>
          <w:numId w:val="4"/>
        </w:numPr>
      </w:pPr>
      <w:r>
        <w:rPr>
          <w:b w:val="1"/>
          <w:bCs w:val="1"/>
        </w:rPr>
        <w:t xml:space="preserve">Наименование процедуры: </w:t>
      </w:r>
      <w:r>
        <w:rPr>
          <w:b w:val="0"/>
          <w:bCs w:val="0"/>
        </w:rPr>
        <w:t xml:space="preserve">Оказание услуг частной охраны объекта ГАУЗ "БОКД" (Выставления поста охраны) на 2026 год</w:t>
      </w:r>
    </w:p>
    <w:p>
      <w:pPr>
        <w:keepLines w:val="1"/>
        <w:spacing w:after="96"/>
        <w:numPr>
          <w:ilvl w:val="0"/>
          <w:numId w:val="4"/>
        </w:numPr>
      </w:pPr>
      <w:r>
        <w:rPr>
          <w:b w:val="1"/>
          <w:bCs w:val="1"/>
        </w:rPr>
        <w:t xml:space="preserve">Предмет договора лота: </w:t>
      </w:r>
      <w:r>
        <w:rPr>
          <w:b w:val="0"/>
          <w:bCs w:val="0"/>
        </w:rPr>
        <w:t xml:space="preserve">Оказание услуг частной охраны объекта ГАУЗ "БОКД" (Выставления поста охраны) на 2026 год</w:t>
      </w:r>
    </w:p>
    <w:p>
      <w:pPr>
        <w:keepLines w:val="1"/>
        <w:spacing w:after="96"/>
        <w:numPr>
          <w:ilvl w:val="0"/>
          <w:numId w:val="4"/>
        </w:numPr>
      </w:pPr>
      <w:r>
        <w:rPr>
          <w:b w:val="1"/>
          <w:bCs w:val="1"/>
        </w:rPr>
        <w:t xml:space="preserve">Начальная (максимальная) цена договора, лота: </w:t>
      </w:r>
      <w:r>
        <w:rPr>
          <w:b w:val="0"/>
          <w:bCs w:val="0"/>
        </w:rPr>
        <w:t xml:space="preserve">2 190 000.00 (с учетом НДС) в валюте - Российский рубль</w:t>
      </w:r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Извещение о проведении настоящей процедуры и документация были размещены «28» ноября 2025г. на сайте АО «Единая электронная торговая площадка» (АО «ЕЭТП»), по адресу в сети «Интернет»: </w:t>
      </w:r>
      <w:hyperlink r:id="rId7" w:history="1">
        <w:r>
          <w:t xml:space="preserve">https://corp.roseltorg.ru</w:t>
        </w:r>
      </w:hyperlink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По окончании срока подачи заявок до «15» декабря 2025г. было подано 1 заявка от участников. 0 заявок отозвано.</w:t>
      </w:r>
    </w:p>
    <w:p>
      <w:pPr>
        <w:keepLines w:val="1"/>
        <w:spacing w:after="96"/>
        <w:numPr>
          <w:ilvl w:val="0"/>
          <w:numId w:val="4"/>
        </w:numPr>
      </w:pPr>
      <w:r>
        <w:rPr>
          <w:b w:val="0"/>
          <w:bCs w:val="0"/>
        </w:rPr>
        <w:t xml:space="preserve">Срок исполнения договора: </w:t>
      </w:r>
      <w:r>
        <w:rPr>
          <w:b w:val="0"/>
          <w:bCs w:val="0"/>
        </w:rPr>
        <w:t xml:space="preserve">-</w:t>
      </w:r>
    </w:p>
    <w:p>
      <w:pPr>
        <w:keepLines w:val="1"/>
        <w:spacing w:after="96"/>
        <w:numPr>
          <w:ilvl w:val="0"/>
          <w:numId w:val="4"/>
        </w:numPr>
      </w:pPr>
      <w:r>
        <w:rPr>
          <w:b w:val="1"/>
          <w:bCs w:val="1"/>
        </w:rPr>
        <w:t xml:space="preserve">Сведения об объеме закупаемых товаров, работ, услуг:</w:t>
      </w:r>
    </w:p>
    <w:tbl>
      <w:tblGrid>
        <w:gridCol w:w="2300" w:type="dxa"/>
        <w:gridCol w:w="2100" w:type="dxa"/>
        <w:gridCol w:w="2000" w:type="dxa"/>
        <w:gridCol w:w="1800" w:type="dxa"/>
        <w:gridCol w:w="2000" w:type="dxa"/>
      </w:tblGrid>
      <w:tblPr>
        <w:tblStyle w:val="style48913"/>
      </w:tblPr>
      <w:tr>
        <w:trPr>
          <w:cantSplit w:val="1"/>
        </w:trPr>
        <w:tc>
          <w:tcPr>
            <w:tcW w:w="23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Наименование ТРУ</w:t>
            </w:r>
          </w:p>
        </w:tc>
        <w:tc>
          <w:tcPr>
            <w:tcW w:w="21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Количество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Единица измерения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Код ОКПД2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Код ОКВЭД2</w:t>
            </w:r>
          </w:p>
        </w:tc>
      </w:tr>
      <w:tr>
        <w:trPr>
          <w:cantSplit w:val="1"/>
        </w:trPr>
        <w:tc>
          <w:tcPr>
            <w:tcW w:w="2300" w:type="dxa"/>
          </w:tcPr>
          <w:p>
            <w:pPr>
              <w:jc w:val="center"/>
            </w:pPr>
            <w:r>
              <w:rPr/>
              <w:t xml:space="preserve">Оказание услуг частной охраны объекта ГАУЗ "БОКД" (Выставления поста охраны) на 2026 год</w:t>
            </w:r>
          </w:p>
        </w:tc>
        <w:tc>
          <w:tcPr>
            <w:tcW w:w="2100" w:type="dxa"/>
          </w:tcPr>
          <w:p>
            <w:pPr>
              <w:jc w:val="center"/>
            </w:pPr>
            <w:r>
              <w:rPr/>
              <w:t xml:space="preserve">12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Месяц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/>
              <w:t xml:space="preserve">80.10.12.200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80.10.1</w:t>
            </w:r>
          </w:p>
        </w:tc>
      </w:tr>
    </w:tbl>
    <w:p>
      <w:pPr>
        <w:keepLines w:val="1"/>
        <w:spacing w:after="96"/>
        <w:numPr>
          <w:ilvl w:val="0"/>
          <w:numId w:val="4"/>
        </w:numPr>
      </w:pPr>
      <w:r>
        <w:rPr/>
        <w:t xml:space="preserve">Участниками была предоставлена следующая документация для проведения процедуры:</w:t>
      </w:r>
    </w:p>
    <w:p>
      <w:pPr/>
      <w:r>
        <w:rPr>
          <w:b w:val="1"/>
          <w:bCs w:val="1"/>
        </w:rPr>
        <w:t xml:space="preserve">Заявка №3050021753</w:t>
      </w:r>
    </w:p>
    <w:tbl>
      <w:tblGrid>
        <w:gridCol w:w="5000" w:type="dxa"/>
        <w:gridCol w:w="5000" w:type="dxa"/>
      </w:tblGrid>
      <w:tblPr>
        <w:tblStyle w:val="style86432"/>
      </w:tblPr>
      <w:tr>
        <w:trPr>
          <w:cantSplit w:val="1"/>
        </w:trPr>
        <w:tc>
          <w:tcPr>
            <w:tcW w:w="5000" w:type="dxa"/>
          </w:tcPr>
          <w:p>
            <w:pPr/>
            <w:r>
              <w:rPr>
                <w:b w:val="1"/>
                <w:bCs w:val="1"/>
              </w:rPr>
              <w:t xml:space="preserve">Наименование документа</w:t>
            </w:r>
          </w:p>
        </w:tc>
        <w:tc>
          <w:tcPr>
            <w:tcW w:w="5000" w:type="dxa"/>
          </w:tcPr>
          <w:p>
            <w:pPr/>
            <w:r>
              <w:rPr>
                <w:b w:val="1"/>
                <w:bCs w:val="1"/>
              </w:rPr>
              <w:t xml:space="preserve">Наличие документа у участника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/>
            <w:r>
              <w:rPr/>
              <w:t xml:space="preserve">Анкета..pdf</w:t>
            </w:r>
          </w:p>
        </w:tc>
        <w:tc>
          <w:tcPr>
            <w:tcW w:w="5000" w:type="dxa"/>
          </w:tcPr>
          <w:p>
            <w:pPr/>
            <w:r>
              <w:rPr/>
              <w:t xml:space="preserve"/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/>
            <w:r>
              <w:rPr/>
              <w:t xml:space="preserve">Декларация соответствия ед.требованиям.pdf</w:t>
            </w:r>
          </w:p>
        </w:tc>
        <w:tc>
          <w:tcPr>
            <w:tcW w:w="5000" w:type="dxa"/>
          </w:tcPr>
          <w:p>
            <w:pPr/>
            <w:r>
              <w:rPr/>
              <w:t xml:space="preserve"/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/>
            <w:r>
              <w:rPr/>
              <w:t xml:space="preserve">Декларация спец.экономические меры .pdf</w:t>
            </w:r>
          </w:p>
        </w:tc>
        <w:tc>
          <w:tcPr>
            <w:tcW w:w="5000" w:type="dxa"/>
          </w:tcPr>
          <w:p>
            <w:pPr/>
            <w:r>
              <w:rPr/>
              <w:t xml:space="preserve"/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/>
            <w:r>
              <w:rPr/>
              <w:t xml:space="preserve">Доп доки.zip</w:t>
            </w:r>
          </w:p>
        </w:tc>
        <w:tc>
          <w:tcPr>
            <w:tcW w:w="5000" w:type="dxa"/>
          </w:tcPr>
          <w:p>
            <w:pPr/>
            <w:r>
              <w:rPr/>
              <w:t xml:space="preserve"/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/>
            <w:r>
              <w:rPr/>
              <w:t xml:space="preserve">ЕГРЮЛ от 11.11.25г.pdf</w:t>
            </w:r>
          </w:p>
        </w:tc>
        <w:tc>
          <w:tcPr>
            <w:tcW w:w="5000" w:type="dxa"/>
          </w:tcPr>
          <w:p>
            <w:pPr/>
            <w:r>
              <w:rPr/>
              <w:t xml:space="preserve"/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/>
            <w:r>
              <w:rPr/>
              <w:t xml:space="preserve">Заявка.pdf</w:t>
            </w:r>
          </w:p>
        </w:tc>
        <w:tc>
          <w:tcPr>
            <w:tcW w:w="5000" w:type="dxa"/>
          </w:tcPr>
          <w:p>
            <w:pPr/>
            <w:r>
              <w:rPr/>
              <w:t xml:space="preserve"/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/>
            <w:r>
              <w:rPr/>
              <w:t xml:space="preserve">ЛИЦЕНЗИЯ ЧОП НОВАЯ.pdf</w:t>
            </w:r>
          </w:p>
        </w:tc>
        <w:tc>
          <w:tcPr>
            <w:tcW w:w="5000" w:type="dxa"/>
          </w:tcPr>
          <w:p>
            <w:pPr/>
            <w:r>
              <w:rPr/>
              <w:t xml:space="preserve"/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/>
            <w:r>
              <w:rPr/>
              <w:t xml:space="preserve">НОВАЯ карточка предприятия СБЕР 20.05.25г.docx</w:t>
            </w:r>
          </w:p>
        </w:tc>
        <w:tc>
          <w:tcPr>
            <w:tcW w:w="5000" w:type="dxa"/>
          </w:tcPr>
          <w:p>
            <w:pPr/>
            <w:r>
              <w:rPr/>
              <w:t xml:space="preserve"/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/>
            <w:r>
              <w:rPr/>
              <w:t xml:space="preserve">Предложение о функ-ных и кач-ных харак-х ЦБ.pdf</w:t>
            </w:r>
          </w:p>
        </w:tc>
        <w:tc>
          <w:tcPr>
            <w:tcW w:w="5000" w:type="dxa"/>
          </w:tcPr>
          <w:p>
            <w:pPr/>
            <w:r>
              <w:rPr/>
              <w:t xml:space="preserve"/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/>
            <w:r>
              <w:rPr/>
              <w:t xml:space="preserve">РХИиСНУ до 07.08.2027г.zip</w:t>
            </w:r>
          </w:p>
        </w:tc>
        <w:tc>
          <w:tcPr>
            <w:tcW w:w="5000" w:type="dxa"/>
          </w:tcPr>
          <w:p>
            <w:pPr/>
            <w:r>
              <w:rPr/>
              <w:t xml:space="preserve"/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/>
            <w:r>
              <w:rPr/>
              <w:t xml:space="preserve">Свед-я об отсут-и долгов налоги 10.12.24.jpg</w:t>
            </w:r>
          </w:p>
        </w:tc>
        <w:tc>
          <w:tcPr>
            <w:tcW w:w="5000" w:type="dxa"/>
          </w:tcPr>
          <w:p>
            <w:pPr/>
            <w:r>
              <w:rPr/>
              <w:t xml:space="preserve"/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/>
            <w:r>
              <w:rPr/>
              <w:t xml:space="preserve">СМСП от 11.11.25г.pdf</w:t>
            </w:r>
          </w:p>
        </w:tc>
        <w:tc>
          <w:tcPr>
            <w:tcW w:w="5000" w:type="dxa"/>
          </w:tcPr>
          <w:p>
            <w:pPr/>
            <w:r>
              <w:rPr/>
              <w:t xml:space="preserve"/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/>
            <w:r>
              <w:rPr/>
              <w:t xml:space="preserve">Справка о МТО и КО_ЦБ Вымпел.pdf</w:t>
            </w:r>
          </w:p>
        </w:tc>
        <w:tc>
          <w:tcPr>
            <w:tcW w:w="5000" w:type="dxa"/>
          </w:tcPr>
          <w:p>
            <w:pPr/>
            <w:r>
              <w:rPr/>
              <w:t xml:space="preserve"/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/>
            <w:r>
              <w:rPr/>
              <w:t xml:space="preserve">Справка об отсутствии задолжн по налогам.pdf</w:t>
            </w:r>
          </w:p>
        </w:tc>
        <w:tc>
          <w:tcPr>
            <w:tcW w:w="5000" w:type="dxa"/>
          </w:tcPr>
          <w:p>
            <w:pPr/>
            <w:r>
              <w:rPr/>
              <w:t xml:space="preserve"/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/>
            <w:r>
              <w:rPr/>
              <w:t xml:space="preserve">Уставные доки.zip</w:t>
            </w:r>
          </w:p>
        </w:tc>
        <w:tc>
          <w:tcPr>
            <w:tcW w:w="5000" w:type="dxa"/>
          </w:tcPr>
          <w:p>
            <w:pPr/>
            <w:r>
              <w:rPr/>
              <w:t xml:space="preserve"/>
            </w:r>
          </w:p>
        </w:tc>
      </w:tr>
    </w:tbl>
    <w:p>
      <w:pPr>
        <w:spacing w:line="120" w:lineRule="auto"/>
      </w:pPr>
      <w:r>
        <w:rPr/>
        <w:t xml:space="preserve"/>
      </w:r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Комиссия рассмотрела заявки участников процедуры на соответствие требованиям, установленным документацией, и приняла следующее решение:</w:t>
      </w:r>
    </w:p>
    <w:tbl>
      <w:tblGrid>
        <w:gridCol w:w="2116.6666666666665" w:type="dxa"/>
        <w:gridCol w:w="2116.6666666666665" w:type="dxa"/>
        <w:gridCol w:w="2116.6666666666665" w:type="dxa"/>
        <w:gridCol w:w="5516.666666666667" w:type="dxa"/>
        <w:gridCol w:w="5516.666666666667" w:type="dxa"/>
        <w:gridCol w:w="5516.666666666667" w:type="dxa"/>
      </w:tblGrid>
      <w:tblPr>
        <w:tblStyle w:val="style68882"/>
      </w:tblPr>
      <w:tr>
        <w:trPr>
          <w:cantSplit w:val="1"/>
        </w:trPr>
        <w:tc>
          <w:tcPr>
            <w:tcW w:w="2116.6666666666665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Номер заявки в лоте</w:t>
            </w:r>
          </w:p>
        </w:tc>
        <w:tc>
          <w:tcPr>
            <w:tcW w:w="2116.6666666666665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Номер заявки</w:t>
            </w:r>
          </w:p>
        </w:tc>
        <w:tc>
          <w:tcPr>
            <w:tcW w:w="2116.6666666666665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Наименование участника</w:t>
            </w:r>
          </w:p>
        </w:tc>
        <w:tc>
          <w:tcPr>
            <w:tcW w:w="5516.666666666667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Дата и время регистрации заявок (МСК)</w:t>
            </w:r>
          </w:p>
        </w:tc>
        <w:tc>
          <w:tcPr>
            <w:tcW w:w="5516.666666666667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Решение о допуске заявки</w:t>
            </w:r>
          </w:p>
        </w:tc>
        <w:tc>
          <w:tcPr>
            <w:tcW w:w="5516.666666666667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Основание для решения</w:t>
            </w:r>
          </w:p>
        </w:tc>
      </w:tr>
      <w:tr>
        <w:trPr>
          <w:cantSplit w:val="1"/>
        </w:trPr>
        <w:tc>
          <w:tcPr>
            <w:tcW w:w="2116.6666666666665" w:type="dxa"/>
          </w:tcPr>
          <w:p>
            <w:pPr>
              <w:jc w:val="center"/>
            </w:pPr>
            <w:r>
              <w:rPr/>
              <w:t xml:space="preserve">1</w:t>
            </w:r>
          </w:p>
        </w:tc>
        <w:tc>
          <w:tcPr>
            <w:tcW w:w="2116.6666666666665" w:type="dxa"/>
          </w:tcPr>
          <w:p>
            <w:pPr>
              <w:jc w:val="center"/>
            </w:pPr>
            <w:r>
              <w:rPr/>
              <w:t xml:space="preserve">3050021753</w:t>
            </w:r>
          </w:p>
        </w:tc>
        <w:tc>
          <w:tcPr>
            <w:tcW w:w="2116.6666666666665" w:type="dxa"/>
          </w:tcPr>
          <w:p>
            <w:pPr>
              <w:jc w:val="center"/>
            </w:pPr>
            <w:r>
              <w:rPr/>
              <w:t xml:space="preserve">ОБЩЕСТВО С ОГРАНИЧЕННОЙ ОТВЕТСТВЕННОСТЬЮ ЧАСТНОЕ ОХРАННОЕ ПРЕДПРИЯТИЕ "ЦЕНТР БЕЗОПАСНОСТИ "ВЫМПЕЛ", 241520, БРЯНСКАЯ ОБЛАСТЬ, Р-Н БРЯНСКИЙ, С. СУПОНЕВО, УЛ. ДАЧНАЯ, Д. 30, ПОМЕЩ. 1, ИНН 3245010844, КПП 324501001, ОГРН 1163256057898</w:t>
            </w:r>
          </w:p>
        </w:tc>
        <w:tc>
          <w:tcPr>
            <w:tcW w:w="5516.666666666667" w:type="dxa"/>
          </w:tcPr>
          <w:p>
            <w:pPr>
              <w:jc w:val="center"/>
            </w:pPr>
            <w:r>
              <w:rPr/>
              <w:t xml:space="preserve">02.12.2025 10:03:56</w:t>
            </w:r>
          </w:p>
        </w:tc>
        <w:tc>
          <w:tcPr>
            <w:tcW w:w="5516.666666666667" w:type="dxa"/>
          </w:tcPr>
          <w:p>
            <w:pPr>
              <w:jc w:val="center"/>
            </w:pPr>
            <w:r>
              <w:rPr/>
              <w:t xml:space="preserve">Допущена</w:t>
            </w:r>
          </w:p>
        </w:tc>
        <w:tc>
          <w:tcPr>
            <w:tcW w:w="5516.666666666667" w:type="dxa"/>
          </w:tcPr>
          <w:p>
            <w:pPr>
              <w:jc w:val="center"/>
            </w:pPr>
            <w:r>
              <w:rPr/>
              <w:t xml:space="preserve">Состав документов заявителя соответствует требованиям</w:t>
            </w:r>
          </w:p>
        </w:tc>
      </w:tr>
    </w:tbl>
    <w:p>
      <w:pPr>
        <w:spacing w:line="120" w:lineRule="auto"/>
      </w:pPr>
      <w:r>
        <w:rPr/>
        <w:t xml:space="preserve"/>
      </w:r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Сведения о решении членов комиссии по каждой заявке: Комиссия №2</w:t>
      </w:r>
    </w:p>
    <w:p>
      <w:pPr/>
      <w:r>
        <w:rPr>
          <w:b w:val="1"/>
          <w:bCs w:val="1"/>
        </w:rPr>
        <w:t xml:space="preserve">Заявка №3050021753</w:t>
      </w:r>
    </w:p>
    <w:tbl>
      <w:tblGrid>
        <w:gridCol w:w="5000" w:type="dxa"/>
        <w:gridCol w:w="5000" w:type="dxa"/>
      </w:tblGrid>
      <w:tblPr>
        <w:tblStyle w:val="style69135"/>
      </w:tblP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Член комиссии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Решение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Мелешкова Галина Владимировна (Председатель комиссии)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Допущена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Пимахов Владимир Павлович (Зам. председателя комиссии)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Допущена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Щербакова Ирина Викторовна (Член комиссии)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Допущена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Шполтакова Алла Михайловна (Член комиссии)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Допущена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Кузьменко Наталья Ивановна (Член комиссии)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Допущена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 Балыкова Нинель Семеновна (Секретарь)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Допущена</w:t>
            </w:r>
          </w:p>
        </w:tc>
      </w:tr>
    </w:tbl>
    <w:p>
      <w:pPr>
        <w:spacing w:line="120" w:lineRule="auto"/>
      </w:pPr>
      <w:r>
        <w:rPr/>
        <w:t xml:space="preserve"/>
      </w:r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Протокол рассмотрения заявок на участие в процедуре будет размещен на сайте Единой информационной системы в сфере закупок (ЕИС) по адресу в сети «Интернет»: http://zakupki.gov.ru и на сайте АО «Единая электронная торговая площадка» (АО «ЕЭТП») по адресу в сети «Интернет»: </w:t>
      </w:r>
      <w:hyperlink r:id="rId7" w:history="1">
        <w:r>
          <w:t xml:space="preserve">https://corp.roseltorg.ru</w:t>
        </w:r>
      </w:hyperlink>
      <w:r>
        <w:rPr/>
        <w:t xml:space="preserve"> в сроки, предусмотренные №223-ФЗ и действующим Положением о закупках.</w:t>
      </w:r>
      <w:r>
        <w:rPr/>
        <w:t xml:space="preserve"/>
      </w:r>
    </w:p>
    <w:p>
      <w:pPr/>
      <w:r>
        <w:rPr>
          <w:b w:val="1"/>
          <w:bCs w:val="1"/>
        </w:rPr>
        <w:t xml:space="preserve">Члены комиссии, присутствующие на заседании:</w:t>
      </w:r>
    </w:p>
    <w:tbl>
      <w:tblGrid>
        <w:gridCol w:w="3300" w:type="dxa"/>
        <w:gridCol w:w="3400" w:type="dxa"/>
        <w:gridCol w:w="3300" w:type="dxa"/>
      </w:tblGrid>
      <w:tblPr>
        <w:tblStyle w:val="style60802"/>
      </w:tblPr>
      <w:tr>
        <w:trPr>
          <w:cantSplit w:val="1"/>
        </w:trPr>
        <w:tc>
          <w:tcPr>
            <w:tcW w:w="3300" w:type="dxa"/>
            <w:vAlign w:val="bottom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Должность</w:t>
            </w:r>
          </w:p>
        </w:tc>
        <w:tc>
          <w:tcPr>
            <w:tcW w:w="3400" w:type="dxa"/>
            <w:vAlign w:val="bottom"/>
          </w:tcPr>
          <w:p>
            <w:pPr>
              <w:jc w:val="center"/>
            </w:pPr>
            <w:r>
              <w:rPr>
                <w:b w:val="0"/>
                <w:bCs w:val="0"/>
              </w:rPr>
              <w:t xml:space="preserve"/>
            </w:r>
          </w:p>
        </w:tc>
        <w:tc>
          <w:tcPr>
            <w:tcW w:w="3300" w:type="dxa"/>
            <w:vAlign w:val="bottom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ФИО</w:t>
            </w:r>
          </w:p>
        </w:tc>
      </w:tr>
      <w:tr>
        <w:trPr>
          <w:cantSplit w:val="1"/>
        </w:trPr>
        <w:tc>
          <w:tcPr>
            <w:tcW w:w="33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Председатель комиссии</w:t>
            </w:r>
          </w:p>
        </w:tc>
        <w:tc>
          <w:tcPr>
            <w:tcW w:w="34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_______________</w:t>
            </w:r>
          </w:p>
        </w:tc>
        <w:tc>
          <w:tcPr>
            <w:tcW w:w="33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Мелешкова Галина Владимировна</w:t>
            </w:r>
          </w:p>
        </w:tc>
      </w:tr>
      <w:tr>
        <w:trPr>
          <w:cantSplit w:val="1"/>
        </w:trPr>
        <w:tc>
          <w:tcPr>
            <w:tcW w:w="33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Зам. председателя комиссии</w:t>
            </w:r>
          </w:p>
        </w:tc>
        <w:tc>
          <w:tcPr>
            <w:tcW w:w="34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_______________</w:t>
            </w:r>
          </w:p>
        </w:tc>
        <w:tc>
          <w:tcPr>
            <w:tcW w:w="33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Пимахов Владимир Павлович</w:t>
            </w:r>
          </w:p>
        </w:tc>
      </w:tr>
      <w:tr>
        <w:trPr>
          <w:cantSplit w:val="1"/>
        </w:trPr>
        <w:tc>
          <w:tcPr>
            <w:tcW w:w="33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Член комиссии</w:t>
            </w:r>
          </w:p>
        </w:tc>
        <w:tc>
          <w:tcPr>
            <w:tcW w:w="34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_______________</w:t>
            </w:r>
          </w:p>
        </w:tc>
        <w:tc>
          <w:tcPr>
            <w:tcW w:w="33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Щербакова Ирина Викторовна</w:t>
            </w:r>
          </w:p>
        </w:tc>
      </w:tr>
      <w:tr>
        <w:trPr>
          <w:cantSplit w:val="1"/>
        </w:trPr>
        <w:tc>
          <w:tcPr>
            <w:tcW w:w="33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Член комиссии</w:t>
            </w:r>
          </w:p>
        </w:tc>
        <w:tc>
          <w:tcPr>
            <w:tcW w:w="34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_______________</w:t>
            </w:r>
          </w:p>
        </w:tc>
        <w:tc>
          <w:tcPr>
            <w:tcW w:w="33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Шполтакова Алла Михайловна</w:t>
            </w:r>
          </w:p>
        </w:tc>
      </w:tr>
      <w:tr>
        <w:trPr>
          <w:cantSplit w:val="1"/>
        </w:trPr>
        <w:tc>
          <w:tcPr>
            <w:tcW w:w="33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Член комиссии</w:t>
            </w:r>
          </w:p>
        </w:tc>
        <w:tc>
          <w:tcPr>
            <w:tcW w:w="34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_______________</w:t>
            </w:r>
          </w:p>
        </w:tc>
        <w:tc>
          <w:tcPr>
            <w:tcW w:w="33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Кузьменко Наталья Ивановна</w:t>
            </w:r>
          </w:p>
        </w:tc>
      </w:tr>
      <w:tr>
        <w:trPr>
          <w:cantSplit w:val="1"/>
        </w:trPr>
        <w:tc>
          <w:tcPr>
            <w:tcW w:w="33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Секретарь</w:t>
            </w:r>
          </w:p>
        </w:tc>
        <w:tc>
          <w:tcPr>
            <w:tcW w:w="34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_______________</w:t>
            </w:r>
          </w:p>
        </w:tc>
        <w:tc>
          <w:tcPr>
            <w:tcW w:w="33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Балыкова Нинель Семеновна</w:t>
            </w:r>
          </w:p>
        </w:tc>
      </w:tr>
    </w:tbl>
    <w:sectPr>
      <w:footerReference w:type="default" r:id="rId8"/>
      <w:pgSz w:orient="portrait" w:w="11905.511811023622" w:h="16837.79527559055"/>
      <w:pgMar w:top="1440" w:right="566.9291338582676" w:bottom="1440" w:left="1417.3228346456694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8503.937007874016" w:type="dxa"/>
      <w:gridCol w:w="1417.3228346456694" w:type="dxa"/>
    </w:tblGrid>
    <w:tblPr>
      <w:tblW w:w="0" w:type="auto"/>
      <w:tblLayout w:type="autofit"/>
      <w:bidiVisual w:val="0"/>
      <w:tblCellMar>
        <w:top w:w="0" w:type="dxa"/>
        <w:left w:w="0" w:type="dxa"/>
        <w:right w:w="0" w:type="dxa"/>
        <w:bottom w:w="0" w:type="dxa"/>
      </w:tblCellMar>
      <w:tblBorders>
        <w:top w:val="single" w:sz="2" w:color="555555"/>
      </w:tblBorders>
    </w:tblPr>
    <w:tr>
      <w:trPr/>
      <w:tc>
        <w:tcPr>
          <w:tcW w:w="8503.937007874016" w:type="dxa"/>
        </w:tcPr>
        <w:p>
          <w:pPr>
            <w:jc w:val="left"/>
          </w:pPr>
          <w:r>
            <w:rPr/>
            <w:t xml:space="preserve">Протокол рассмотрения заявок на участие в процедуре №32515464023 от 15.12.2025г.</w:t>
          </w:r>
        </w:p>
      </w:tc>
      <w:tc>
        <w:tcPr>
          <w:tcW w:w="1417.3228346456694" w:type="dxa"/>
        </w:tcPr>
        <w:p>
          <w:pPr>
            <w:jc w:val="right"/>
          </w:pPr>
          <w:r>
            <w:t xml:space="preserve">стр. </w:t>
          </w: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  <w:r>
            <w:t xml:space="preserve"> из </w:t>
          </w:r>
          <w:r>
            <w:fldChar w:fldCharType="begin"/>
          </w:r>
          <w:r>
            <w:instrText xml:space="preserve">NUMPAGES</w:instrText>
          </w:r>
          <w:r>
            <w:fldChar w:fldCharType="separate"/>
          </w:r>
          <w:r>
            <w:fldChar w:fldCharType="end"/>
          </w:r>
        </w:p>
      </w:tc>
    </w:tr>
  </w:tbl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nsid w:val="F022A389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94F8435F"/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360"/>
        </w:tabs>
        <w:ind w:left="360" w:hanging="360"/>
      </w:pPr>
      <w:rPr>
        <w:rFonts w:ascii="" w:hAnsi="" w:cs=""/>
      </w:rPr>
    </w:lvl>
    <w:lvl w:ilvl="1">
      <w:start w:val="1"/>
      <w:numFmt w:val="decimal"/>
      <w:suff w:val="tab"/>
      <w:lvlText w:val="%1.%2."/>
      <w:lvlJc w:val="left"/>
      <w:pPr>
        <w:tabs>
          <w:tab w:val="num" w:pos="792"/>
        </w:tabs>
        <w:ind w:left="792" w:hanging="432"/>
      </w:pPr>
      <w:rPr>
        <w:rFonts w:ascii="" w:hAnsi="" w:cs=""/>
      </w:rPr>
    </w:lvl>
    <w:lvl w:ilvl="2">
      <w:start w:val="1"/>
      <w:numFmt w:val="decimal"/>
      <w:suff w:val="tab"/>
      <w:lvlText w:val="%1.%2.%3."/>
      <w:lvlJc w:val="left"/>
      <w:pPr>
        <w:tabs>
          <w:tab w:val="num" w:pos="1224"/>
        </w:tabs>
        <w:ind w:left="1224" w:hanging="504"/>
      </w:pPr>
      <w:rPr>
        <w:rFonts w:ascii="" w:hAnsi="" w:cs=""/>
      </w:rPr>
    </w:lvl>
    <w:lvl w:ilvl="3">
      <w:start w:val="1"/>
      <w:numFmt w:val="decimal"/>
      <w:suff w:val="tab"/>
      <w:lvlText w:val="%1.%2.%3.%4."/>
      <w:lvlJc w:val="left"/>
      <w:pPr>
        <w:tabs>
          <w:tab w:val="num" w:pos="1800"/>
        </w:tabs>
        <w:ind w:left="1728" w:hanging="648"/>
      </w:pPr>
      <w:rPr>
        <w:rFonts w:ascii="" w:hAnsi="" w:cs=""/>
      </w:rPr>
    </w:lvl>
    <w:lvl w:ilvl="4">
      <w:start w:val="1"/>
      <w:numFmt w:val="decimal"/>
      <w:suff w:val="tab"/>
      <w:lvlText w:val="%1.%2.%3.%4.%5."/>
      <w:lvlJc w:val="left"/>
      <w:pPr>
        <w:tabs>
          <w:tab w:val="num" w:pos="2520"/>
        </w:tabs>
        <w:ind w:left="2232" w:hanging="792"/>
      </w:pPr>
      <w:rPr>
        <w:rFonts w:ascii="" w:hAnsi="" w:cs=""/>
      </w:rPr>
    </w:lvl>
    <w:lvl w:ilvl="5">
      <w:start w:val="1"/>
      <w:numFmt w:val="decimal"/>
      <w:suff w:val="tab"/>
      <w:lvlText w:val="%1.%2.%3.%4.%5.%6."/>
      <w:lvlJc w:val="left"/>
      <w:pPr>
        <w:tabs>
          <w:tab w:val="num" w:pos="2880"/>
        </w:tabs>
        <w:ind w:left="2736" w:hanging="936"/>
      </w:pPr>
      <w:rPr>
        <w:rFonts w:ascii="" w:hAnsi="" w:cs=""/>
      </w:rPr>
    </w:lvl>
    <w:lvl w:ilvl="6">
      <w:start w:val="1"/>
      <w:numFmt w:val="decimal"/>
      <w:suff w:val="tab"/>
      <w:lvlText w:val="%1.%2.%3.%4.%5.%6.%7."/>
      <w:lvlJc w:val="left"/>
      <w:pPr>
        <w:tabs>
          <w:tab w:val="num" w:pos="3600"/>
        </w:tabs>
        <w:ind w:left="3240" w:hanging="1080"/>
      </w:pPr>
      <w:rPr>
        <w:rFonts w:ascii="" w:hAnsi="" w:cs=""/>
      </w:rPr>
    </w:lvl>
    <w:lvl w:ilvl="7">
      <w:start w:val="1"/>
      <w:numFmt w:val="decimal"/>
      <w:suff w:val="tab"/>
      <w:lvlText w:val="%1.%2.%3.%4.%5.%6.%7.%8."/>
      <w:lvlJc w:val="left"/>
      <w:pPr>
        <w:tabs>
          <w:tab w:val="num" w:pos="3960"/>
        </w:tabs>
        <w:ind w:left="3744" w:hanging="1224"/>
      </w:pPr>
      <w:rPr>
        <w:rFonts w:ascii="" w:hAnsi="" w:cs=""/>
      </w:rPr>
    </w:lvl>
    <w:lvl w:ilvl="8">
      <w:start w:val="1"/>
      <w:numFmt w:val="decimal"/>
      <w:suff w:val="tab"/>
      <w:lvlText w:val="%1.%2.%3.%4.%5.%6.%7.%8.%9."/>
      <w:lvlJc w:val="left"/>
      <w:pPr>
        <w:tabs>
          <w:tab w:val="num" w:pos="4680"/>
        </w:tabs>
        <w:ind w:left="4320" w:hanging="1440"/>
      </w:pPr>
      <w:rPr>
        <w:rFonts w:ascii="" w:hAnsi="" w:cs=""/>
      </w:rPr>
    </w:lvl>
  </w:abstractNum>
  <w:num w:numId="3">
    <w:abstractNumId w:val="3"/>
  </w:num>
  <w:num w:numId="4">
    <w:abstractNumId w:val="4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ru-ru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ru-ru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OwnStyle"/>
    <w:rPr>
      <w:b w:val="1"/>
      <w:bCs w:val="1"/>
    </w:rPr>
  </w:style>
  <w:style w:type="paragraph" w:customStyle="1" w:styleId="P-Style">
    <w:name w:val="P-Style"/>
    <w:basedOn w:val="Normal"/>
    <w:pPr>
      <w:keepLines w:val="1"/>
      <w:spacing w:after="96"/>
    </w:pPr>
  </w:style>
  <w:style w:type="table" w:customStyle="1" w:styleId="style48913">
    <w:name w:val="style48913"/>
    <w:uiPriority w:val="99"/>
    <w:tblPr>
      <w:tblW w:w="0" w:type="auto"/>
      <w:tblLayout w:type="autofit"/>
      <w:bidiVisual w:val="0"/>
      <w:tblBorders>
        <w:top w:val="single" w:sz="1" w:color="000000"/>
        <w:left w:val="single" w:sz="1" w:color="000000"/>
        <w:right w:val="single" w:sz="1" w:color="000000"/>
        <w:bottom w:val="single" w:sz="1" w:color="000000"/>
        <w:insideH w:val="single" w:sz="1" w:color="000000"/>
        <w:insideV w:val="single" w:sz="1" w:color="000000"/>
      </w:tblBorders>
    </w:tblPr>
  </w:style>
  <w:style w:type="table" w:customStyle="1" w:styleId="style86432">
    <w:name w:val="style86432"/>
    <w:uiPriority w:val="99"/>
    <w:tblPr>
      <w:tblW w:w="0" w:type="auto"/>
      <w:tblLayout w:type="autofit"/>
      <w:bidiVisual w:val="0"/>
      <w:tblBorders>
        <w:top w:val="single" w:sz="1" w:color="000000"/>
        <w:left w:val="single" w:sz="1" w:color="000000"/>
        <w:right w:val="single" w:sz="1" w:color="000000"/>
        <w:bottom w:val="single" w:sz="1" w:color="000000"/>
        <w:insideH w:val="single" w:sz="1" w:color="000000"/>
        <w:insideV w:val="single" w:sz="1" w:color="000000"/>
      </w:tblBorders>
    </w:tblPr>
  </w:style>
  <w:style w:type="table" w:customStyle="1" w:styleId="style68882">
    <w:name w:val="style68882"/>
    <w:uiPriority w:val="99"/>
    <w:tblPr>
      <w:tblW w:w="0" w:type="auto"/>
      <w:tblLayout w:type="autofit"/>
      <w:bidiVisual w:val="0"/>
      <w:tblBorders>
        <w:top w:val="single" w:sz="1" w:color="000000"/>
        <w:left w:val="single" w:sz="1" w:color="000000"/>
        <w:right w:val="single" w:sz="1" w:color="000000"/>
        <w:bottom w:val="single" w:sz="1" w:color="000000"/>
        <w:insideH w:val="single" w:sz="1" w:color="000000"/>
        <w:insideV w:val="single" w:sz="1" w:color="000000"/>
      </w:tblBorders>
    </w:tblPr>
  </w:style>
  <w:style w:type="table" w:customStyle="1" w:styleId="style69135">
    <w:name w:val="style69135"/>
    <w:uiPriority w:val="99"/>
    <w:tblPr>
      <w:tblW w:w="0" w:type="auto"/>
      <w:tblLayout w:type="autofit"/>
      <w:bidiVisual w:val="0"/>
      <w:tblBorders>
        <w:top w:val="single" w:sz="1" w:color="000000"/>
        <w:left w:val="single" w:sz="1" w:color="000000"/>
        <w:right w:val="single" w:sz="1" w:color="000000"/>
        <w:bottom w:val="single" w:sz="1" w:color="000000"/>
        <w:insideH w:val="single" w:sz="1" w:color="000000"/>
        <w:insideV w:val="single" w:sz="1" w:color="000000"/>
      </w:tblBorders>
    </w:tblPr>
  </w:style>
  <w:style w:type="table" w:customStyle="1" w:styleId="style60802">
    <w:name w:val="style60802"/>
    <w:uiPriority w:val="99"/>
    <w:tblPr>
      <w:tblW w:w="0" w:type="auto"/>
      <w:tblLayout w:type="autofit"/>
      <w:bidiVisual w:val="0"/>
      <w:tblBorders>
        <w:top w:val="single" w:sz="0" w:color="ffffff"/>
        <w:left w:val="single" w:sz="0" w:color="ffffff"/>
        <w:right w:val="single" w:sz="0" w:color="ffffff"/>
        <w:bottom w:val="single" w:sz="0" w:color="ffffff"/>
        <w:insideH w:val="single" w:sz="0" w:color="ffffff"/>
        <w:insideV w:val="single" w:sz="0" w:color="ffffff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yperlink" Target="https://corp.roseltorg.ru" TargetMode="Externa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2025-12-15T10:23:14+03:00</dcterms:created>
  <dcterms:modified xsi:type="dcterms:W3CDTF">2025-12-15T10:23:14+03:00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