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7E38B10">
      <w:pPr>
        <w:spacing w:after="0"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Протокол № ______ </w:t>
      </w:r>
    </w:p>
    <w:p w14:paraId="4FBE2DF8">
      <w:pPr>
        <w:spacing w:after="0"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заседания закупочной комиссии АГУИО «Кинешемский драмтеатр» </w:t>
      </w:r>
    </w:p>
    <w:p w14:paraId="1978B17C">
      <w:pPr>
        <w:spacing w:after="0"/>
        <w:rPr>
          <w:rFonts w:ascii="Times New Roman" w:hAnsi="Times New Roman" w:cs="Times New Roman"/>
          <w:sz w:val="24"/>
          <w:szCs w:val="24"/>
        </w:rPr>
      </w:pPr>
    </w:p>
    <w:p w14:paraId="3F3AFD4A">
      <w:pPr>
        <w:spacing w:after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г. Кинешма                                                                                                    ________</w:t>
      </w:r>
    </w:p>
    <w:p w14:paraId="2782ABA7">
      <w:pPr>
        <w:spacing w:after="0"/>
        <w:rPr>
          <w:rFonts w:ascii="Times New Roman" w:hAnsi="Times New Roman" w:cs="Times New Roman"/>
          <w:sz w:val="24"/>
          <w:szCs w:val="24"/>
        </w:rPr>
      </w:pPr>
    </w:p>
    <w:p w14:paraId="5CCE43FA">
      <w:pPr>
        <w:spacing w:after="0"/>
        <w:rPr>
          <w:rFonts w:ascii="Times New Roman" w:hAnsi="Times New Roman" w:cs="Times New Roman"/>
          <w:sz w:val="24"/>
          <w:szCs w:val="24"/>
        </w:rPr>
      </w:pPr>
    </w:p>
    <w:p w14:paraId="6B9D34F7">
      <w:pPr>
        <w:spacing w:after="0" w:line="240" w:lineRule="auto"/>
        <w:jc w:val="both"/>
        <w:rPr>
          <w:rFonts w:hint="default" w:ascii="Times New Roman" w:hAnsi="Times New Roman" w:eastAsia="Arial Unicode MS" w:cs="Times New Roman"/>
          <w:b w:val="0"/>
          <w:bCs/>
          <w:sz w:val="24"/>
          <w:szCs w:val="24"/>
          <w:lang w:val="ru-RU"/>
        </w:rPr>
      </w:pPr>
      <w:r>
        <w:rPr>
          <w:rFonts w:ascii="Times New Roman" w:hAnsi="Times New Roman" w:cs="Times New Roman"/>
          <w:sz w:val="24"/>
          <w:szCs w:val="24"/>
        </w:rPr>
        <w:t xml:space="preserve">      Комиссия в составе председателя Адуевой Г.О. – ведущего юрисконсульта, и заместителя председателя Ильиной А.В. – заместителя директора по зрителю, секретаря Козловой Ю.А.- ведущего бухгалтера,  Кудриной Галины Анатольевны – заместителя директора  по АХЧ и безопасности , и Уткина С.В.– специалиста  по охране труда , составила  настоящий протокол о том,  что  для   закупки </w:t>
      </w:r>
      <w:r>
        <w:rPr>
          <w:rFonts w:hint="default" w:ascii="Times New Roman" w:hAnsi="Times New Roman" w:cs="Times New Roman"/>
          <w:sz w:val="24"/>
          <w:szCs w:val="24"/>
          <w:lang w:val="ru-RU"/>
        </w:rPr>
        <w:t xml:space="preserve">  </w:t>
      </w:r>
      <w:r>
        <w:rPr>
          <w:rFonts w:hint="default" w:ascii="Times New Roman" w:hAnsi="Times New Roman" w:eastAsia="Arial Unicode MS" w:cs="Times New Roman"/>
          <w:b w:val="0"/>
          <w:bCs/>
          <w:sz w:val="24"/>
          <w:szCs w:val="24"/>
          <w:lang w:val="ru-RU"/>
        </w:rPr>
        <w:t xml:space="preserve">услуг  по разработке  рабочей  проектной  документации   на систему  автоматической  пожарной  сигнализации  в здании театра   </w:t>
      </w:r>
    </w:p>
    <w:p w14:paraId="5075D688">
      <w:pPr>
        <w:spacing w:after="0"/>
        <w:jc w:val="both"/>
        <w:rPr>
          <w:rFonts w:ascii="Times New Roman" w:hAnsi="Times New Roman" w:eastAsia="Arial Unicode MS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  <w:lang w:val="ru-RU"/>
        </w:rPr>
        <w:t xml:space="preserve">  б</w:t>
      </w:r>
      <w:r>
        <w:rPr>
          <w:rFonts w:ascii="Times New Roman" w:hAnsi="Times New Roman" w:cs="Times New Roman"/>
          <w:sz w:val="24"/>
          <w:szCs w:val="24"/>
        </w:rPr>
        <w:t xml:space="preserve">ыл избран  способ закупки – закупка  у единственного поставщика  согласно  подпункта 1 пункта 6.1.1. Положения  о закупке товаров, работ, услуг  АГУИО «Кинешемский драмтеатр», </w:t>
      </w:r>
      <w:r>
        <w:rPr>
          <w:rFonts w:ascii="Times New Roman" w:hAnsi="Times New Roman" w:cs="Times New Roman"/>
          <w:sz w:val="24"/>
          <w:szCs w:val="24"/>
          <w:lang w:val="ru-RU"/>
        </w:rPr>
        <w:t>утверждённого</w:t>
      </w:r>
      <w:r>
        <w:rPr>
          <w:rFonts w:ascii="Times New Roman" w:hAnsi="Times New Roman" w:cs="Times New Roman"/>
          <w:sz w:val="24"/>
          <w:szCs w:val="24"/>
        </w:rPr>
        <w:t xml:space="preserve">  решением Наблюдательного  совета от 23.12.2025  № 32.  Закупка осуществляется с целью </w:t>
      </w:r>
      <w:r>
        <w:rPr>
          <w:rFonts w:hint="default" w:ascii="Times New Roman" w:hAnsi="Times New Roman" w:cs="Times New Roman"/>
          <w:sz w:val="24"/>
          <w:szCs w:val="24"/>
          <w:lang w:val="ru-RU"/>
        </w:rPr>
        <w:t xml:space="preserve"> повышения качества спектаклей</w:t>
      </w:r>
      <w:r>
        <w:rPr>
          <w:rFonts w:ascii="Times New Roman" w:hAnsi="Times New Roman" w:cs="Times New Roman"/>
          <w:sz w:val="24"/>
          <w:szCs w:val="24"/>
        </w:rPr>
        <w:t>.</w:t>
      </w:r>
      <w:r>
        <w:rPr>
          <w:rFonts w:hint="default" w:ascii="Times New Roman" w:hAnsi="Times New Roman" w:cs="Times New Roman"/>
          <w:sz w:val="24"/>
          <w:szCs w:val="24"/>
          <w:lang w:val="ru-RU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 xml:space="preserve">Цена договора </w:t>
      </w:r>
      <w:r>
        <w:rPr>
          <w:rFonts w:hint="default" w:ascii="Times New Roman" w:hAnsi="Times New Roman" w:cs="Times New Roman"/>
          <w:sz w:val="24"/>
          <w:szCs w:val="24"/>
          <w:lang w:val="ru-RU"/>
        </w:rPr>
        <w:t>510000</w:t>
      </w:r>
      <w:r>
        <w:rPr>
          <w:rFonts w:ascii="Times New Roman" w:hAnsi="Times New Roman" w:cs="Times New Roman"/>
          <w:sz w:val="24"/>
          <w:szCs w:val="24"/>
        </w:rPr>
        <w:t xml:space="preserve"> (</w:t>
      </w:r>
      <w:r>
        <w:rPr>
          <w:rFonts w:hint="default" w:ascii="Times New Roman" w:hAnsi="Times New Roman" w:cs="Times New Roman"/>
          <w:sz w:val="24"/>
          <w:szCs w:val="24"/>
          <w:lang w:val="ru-RU"/>
        </w:rPr>
        <w:t xml:space="preserve">  Пятьсот  десять </w:t>
      </w:r>
      <w:r>
        <w:rPr>
          <w:rFonts w:ascii="Times New Roman" w:hAnsi="Times New Roman" w:cs="Times New Roman"/>
          <w:sz w:val="24"/>
          <w:szCs w:val="24"/>
        </w:rPr>
        <w:t xml:space="preserve"> тысяч</w:t>
      </w:r>
      <w:r>
        <w:rPr>
          <w:rFonts w:hint="default" w:ascii="Times New Roman" w:hAnsi="Times New Roman" w:cs="Times New Roman"/>
          <w:sz w:val="24"/>
          <w:szCs w:val="24"/>
          <w:lang w:val="ru-RU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) рубл</w:t>
      </w:r>
      <w:r>
        <w:rPr>
          <w:rFonts w:ascii="Times New Roman" w:hAnsi="Times New Roman" w:cs="Times New Roman"/>
          <w:sz w:val="24"/>
          <w:szCs w:val="24"/>
          <w:lang w:val="ru-RU"/>
        </w:rPr>
        <w:t>ей</w:t>
      </w:r>
      <w:r>
        <w:rPr>
          <w:rFonts w:hint="default" w:ascii="Times New Roman" w:hAnsi="Times New Roman" w:cs="Times New Roman"/>
          <w:sz w:val="24"/>
          <w:szCs w:val="24"/>
          <w:lang w:val="ru-RU"/>
        </w:rPr>
        <w:t xml:space="preserve"> </w:t>
      </w:r>
      <w:r>
        <w:rPr>
          <w:rFonts w:ascii="Times New Roman" w:hAnsi="Times New Roman" w:cs="Times New Roman"/>
          <w:bCs/>
          <w:sz w:val="24"/>
          <w:szCs w:val="24"/>
        </w:rPr>
        <w:t xml:space="preserve">00 коп.  </w:t>
      </w:r>
    </w:p>
    <w:p w14:paraId="3343201A">
      <w:pPr>
        <w:jc w:val="both"/>
        <w:rPr>
          <w:rFonts w:hint="default" w:ascii="Times New Roman" w:hAnsi="Times New Roman" w:cs="Times New Roman"/>
          <w:sz w:val="24"/>
          <w:szCs w:val="24"/>
          <w:lang w:val="ru-RU"/>
        </w:rPr>
      </w:pPr>
      <w:r>
        <w:rPr>
          <w:rFonts w:ascii="Times New Roman" w:hAnsi="Times New Roman" w:cs="Times New Roman"/>
          <w:sz w:val="24"/>
          <w:szCs w:val="24"/>
        </w:rPr>
        <w:t xml:space="preserve">Поставщик услуг: </w:t>
      </w:r>
      <w:r>
        <w:rPr>
          <w:rFonts w:hint="default" w:ascii="Times New Roman" w:hAnsi="Times New Roman" w:cs="Times New Roman"/>
          <w:sz w:val="24"/>
          <w:szCs w:val="24"/>
          <w:lang w:val="ru-RU"/>
        </w:rPr>
        <w:t xml:space="preserve">  ООО «Аркона» </w:t>
      </w:r>
    </w:p>
    <w:p w14:paraId="53C93772">
      <w:pPr>
        <w:jc w:val="both"/>
        <w:rPr>
          <w:rFonts w:hint="default" w:ascii="Times New Roman" w:hAnsi="Times New Roman" w:cs="Times New Roman"/>
          <w:sz w:val="24"/>
          <w:szCs w:val="24"/>
          <w:lang w:val="ru-RU"/>
        </w:rPr>
      </w:pPr>
      <w:r>
        <w:rPr>
          <w:rFonts w:hint="default" w:ascii="Times New Roman" w:hAnsi="Times New Roman" w:cs="Times New Roman"/>
          <w:sz w:val="24"/>
          <w:szCs w:val="24"/>
          <w:lang w:val="ru-RU"/>
        </w:rPr>
        <w:t xml:space="preserve">  </w:t>
      </w:r>
      <w:r>
        <w:rPr>
          <w:rFonts w:ascii="Times New Roman" w:hAnsi="Times New Roman" w:cs="Times New Roman"/>
          <w:sz w:val="24"/>
          <w:szCs w:val="24"/>
        </w:rPr>
        <w:t xml:space="preserve">ИНН: </w:t>
      </w:r>
      <w:r>
        <w:rPr>
          <w:rFonts w:hint="default" w:ascii="Times New Roman" w:hAnsi="Times New Roman" w:cs="Times New Roman"/>
          <w:sz w:val="24"/>
          <w:szCs w:val="24"/>
          <w:lang w:val="ru-RU"/>
        </w:rPr>
        <w:t>7802631691  КПП  780201001</w:t>
      </w:r>
      <w:bookmarkStart w:id="0" w:name="_GoBack"/>
      <w:bookmarkEnd w:id="0"/>
    </w:p>
    <w:p w14:paraId="61035C8B">
      <w:p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Подписи: </w:t>
      </w:r>
    </w:p>
    <w:p w14:paraId="3FFA4272">
      <w:pPr>
        <w:spacing w:after="0"/>
        <w:rPr>
          <w:rFonts w:ascii="Times New Roman" w:hAnsi="Times New Roman" w:cs="Times New Roman"/>
          <w:sz w:val="24"/>
          <w:szCs w:val="24"/>
        </w:rPr>
      </w:pPr>
    </w:p>
    <w:p w14:paraId="62F87263">
      <w:pPr>
        <w:spacing w:after="0"/>
        <w:rPr>
          <w:rFonts w:ascii="Times New Roman" w:hAnsi="Times New Roman" w:cs="Times New Roman"/>
          <w:sz w:val="24"/>
          <w:szCs w:val="24"/>
        </w:rPr>
      </w:pPr>
    </w:p>
    <w:p w14:paraId="243630AC">
      <w:pPr>
        <w:spacing w:after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____________________   _____________________________ председатель</w:t>
      </w:r>
    </w:p>
    <w:p w14:paraId="10604AEB">
      <w:pPr>
        <w:spacing w:after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___________________     _____________________________зам. председателя</w:t>
      </w:r>
    </w:p>
    <w:p w14:paraId="4FA5E429">
      <w:pPr>
        <w:spacing w:after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___________________     __________________________________секретарь</w:t>
      </w:r>
    </w:p>
    <w:p w14:paraId="494A986D">
      <w:pPr>
        <w:spacing w:after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___________________ ____________________________________ член комиссии </w:t>
      </w:r>
    </w:p>
    <w:p w14:paraId="14143BF6">
      <w:pPr>
        <w:spacing w:after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__________________  _______________________________член комиссии </w:t>
      </w:r>
    </w:p>
    <w:p w14:paraId="3E8C0298"/>
    <w:p w14:paraId="5F1E434F"/>
    <w:p w14:paraId="216D24BC"/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CC"/>
    <w:family w:val="roman"/>
    <w:pitch w:val="default"/>
    <w:sig w:usb0="E0002EFF" w:usb1="C000785B" w:usb2="00000009" w:usb3="00000000" w:csb0="400001FF" w:csb1="FFFF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黑体">
    <w:altName w:val="SimSun"/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Arial Unicode MS">
    <w:panose1 w:val="020B0604020202020204"/>
    <w:charset w:val="80"/>
    <w:family w:val="swiss"/>
    <w:pitch w:val="default"/>
    <w:sig w:usb0="FFFFFFFF" w:usb1="E9FFFFFF" w:usb2="0000003F" w:usb3="00000000" w:csb0="603F01FF" w:csb1="FFFF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50"/>
  <w:embedSystemFonts/>
  <w:bordersDoNotSurroundHeader w:val="1"/>
  <w:bordersDoNotSurroundFooter w:val="1"/>
  <w:documentProtection w:enforcement="0"/>
  <w:defaultTabStop w:val="708"/>
  <w:drawingGridVerticalSpacing w:val="156"/>
  <w:displayHorizontalDrawingGridEvery w:val="0"/>
  <w:displayVerticalDrawingGridEvery w:val="2"/>
  <w:characterSpacingControl w:val="doNotCompress"/>
  <w:footnotePr>
    <w:footnote w:id="0"/>
    <w:footnote w:id="1"/>
  </w:footnotePr>
  <w:endnotePr>
    <w:endnote w:id="0"/>
    <w:endnote w:id="1"/>
  </w:endnotePr>
  <w:compat>
    <w:spaceForUL/>
    <w:doNotLeaveBackslashAlone/>
    <w:ulTrailSpace/>
    <w:doNotExpandShiftReturn/>
    <w:adjustLineHeightInTable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2D320B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Theme="minorHAnsi" w:hAnsiTheme="minorHAnsi" w:eastAsiaTheme="minorEastAsia" w:cstheme="minorBidi"/>
      <w:sz w:val="22"/>
      <w:szCs w:val="22"/>
      <w:lang w:val="ru-RU" w:eastAsia="ru-RU" w:bidi="ar-SA"/>
    </w:rPr>
  </w:style>
  <w:style w:type="character" w:default="1" w:styleId="2">
    <w:name w:val="Default Paragraph Font"/>
    <w:semiHidden/>
    <w:uiPriority w:val="0"/>
  </w:style>
  <w:style w:type="table" w:default="1" w:styleId="3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2</TotalTime>
  <ScaleCrop>false</ScaleCrop>
  <LinksUpToDate>false</LinksUpToDate>
  <CharactersWithSpaces>0</CharactersWithSpaces>
  <Application>WPS Office_12.2.0.23155_F1E327BC-269C-435d-A152-05C5408002CA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2025-12-15T12:48:20Z</dcterms:created>
  <dc:creator>Галина</dc:creator>
  <cp:lastModifiedBy>Галина</cp:lastModifiedBy>
  <dcterms:modified xsi:type="dcterms:W3CDTF">2025-12-15T12:51:13Z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1049-12.2.0.23155</vt:lpwstr>
  </property>
  <property fmtid="{D5CDD505-2E9C-101B-9397-08002B2CF9AE}" pid="3" name="ICV">
    <vt:lpwstr>9C9790D003E94D7183C55C9662D8520F_12</vt:lpwstr>
  </property>
</Properties>
</file>