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spacing w:after="0"/>
      </w:pPr>
      <w:r>
        <w:rPr>
          <w:b w:val="1"/>
          <w:bCs w:val="1"/>
        </w:rPr>
        <w:t xml:space="preserve">Протокол</w:t>
      </w:r>
    </w:p>
    <w:p>
      <w:pPr>
        <w:jc w:val="center"/>
        <w:spacing w:after="0"/>
      </w:pPr>
      <w:r>
        <w:rPr>
          <w:b w:val="1"/>
          <w:bCs w:val="1"/>
        </w:rPr>
        <w:t xml:space="preserve">рассмотрения первых частей заявок на участие в процедуре</w:t>
      </w:r>
    </w:p>
    <w:p>
      <w:pPr>
        <w:jc w:val="center"/>
        <w:spacing w:after="0"/>
      </w:pPr>
      <w:r>
        <w:rPr>
          <w:b w:val="1"/>
          <w:bCs w:val="1"/>
        </w:rPr>
        <w:t xml:space="preserve">32514546684</w:t>
      </w:r>
    </w:p>
    <w:tbl>
      <w:tblGrid>
        <w:gridCol w:w="5000" w:type="dxa"/>
        <w:gridCol w:w="5000" w:type="dxa"/>
      </w:tblGrid>
      <w:tr>
        <w:trPr/>
        <w:tc>
          <w:tcPr>
            <w:tcW w:w="5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«03» марта 2025г.</w:t>
            </w:r>
          </w:p>
        </w:tc>
      </w:tr>
    </w:tbl>
    <w:p>
      <w:pPr/>
      <w:r>
        <w:rPr>
          <w:b w:val="1"/>
          <w:bCs w:val="1"/>
        </w:rPr>
        <w:t xml:space="preserve">Организатором является: </w:t>
      </w:r>
      <w:r>
        <w:rPr>
          <w:b w:val="0"/>
          <w:bCs w:val="0"/>
        </w:rPr>
        <w:t xml:space="preserve">САНКТ-ПЕТЕРБУРГСКОЕ ГОСУДАРСТВЕННОЕ БЮДЖЕТНОЕ УЧРЕЖДЕНИЕ "ЦЕНТРАЛЬНОЕ УПРАВЛЕНИЕ РЕГИОНАЛЬНЫХ ДОРОГ И БЛАГОУСТРОЙСТВА"</w:t>
      </w:r>
      <w:br/>
      <w:r>
        <w:rPr>
          <w:b w:val="1"/>
          <w:bCs w:val="1"/>
        </w:rPr>
        <w:t xml:space="preserve">Заказчиком является: </w:t>
      </w:r>
      <w:r>
        <w:rPr>
          <w:b w:val="0"/>
          <w:bCs w:val="0"/>
        </w:rPr>
        <w:t xml:space="preserve">САНКТ-ПЕТЕРБУРГСКОЕ ГОСУДАРСТВЕННОЕ БЮДЖЕТНОЕ УЧРЕЖДЕНИЕ "ЦЕНТРАЛЬНОЕ УПРАВЛЕНИЕ РЕГИОНАЛЬНЫХ ДОРОГ И БЛАГОУСТРОЙСТВА"</w:t>
      </w:r>
    </w:p>
    <w:p/>
    <w:p>
      <w:pPr/>
      <w:r>
        <w:rPr>
          <w:b w:val="1"/>
          <w:bCs w:val="1"/>
        </w:rPr>
        <w:t xml:space="preserve">Способ закупки: </w:t>
      </w:r>
    </w:p>
    <w:p>
      <w:pPr/>
      <w:r>
        <w:rPr>
          <w:b w:val="0"/>
          <w:bCs w:val="0"/>
        </w:rPr>
        <w:t xml:space="preserve">Аукцион в электронной форме</w:t>
      </w:r>
    </w:p>
    <w:p>
      <w:pPr>
        <w:keepLines w:val="1"/>
        <w:spacing w:after="96"/>
        <w:numPr>
          <w:ilvl w:val="0"/>
          <w:numId w:val="4"/>
        </w:numPr>
      </w:pPr>
      <w:r>
        <w:rPr>
          <w:b w:val="1"/>
          <w:bCs w:val="1"/>
        </w:rPr>
        <w:t xml:space="preserve">Наименование процедуры: </w:t>
      </w:r>
      <w:r>
        <w:rPr>
          <w:b w:val="0"/>
          <w:bCs w:val="0"/>
        </w:rPr>
        <w:t xml:space="preserve">Оказание услуг по предоставлению доступа к Базе данных резюме с предложениями соискателей о трудоустройстве (резюме) с использованием ПО и возможности публикации предложений о трудоустройстве (вакансий)</w:t>
      </w:r>
    </w:p>
    <w:p>
      <w:pPr>
        <w:keepLines w:val="1"/>
        <w:spacing w:after="96"/>
        <w:numPr>
          <w:ilvl w:val="0"/>
          <w:numId w:val="4"/>
        </w:numPr>
      </w:pPr>
      <w:r>
        <w:rPr>
          <w:b w:val="1"/>
          <w:bCs w:val="1"/>
        </w:rPr>
        <w:t xml:space="preserve">Предмет договора лота: </w:t>
      </w:r>
      <w:r>
        <w:rPr>
          <w:b w:val="0"/>
          <w:bCs w:val="0"/>
        </w:rPr>
        <w:t xml:space="preserve">Оказание услуг по предоставлению доступа к Базе данных резюме с предложениями соискателей о трудоустройстве (резюме) с использованием ПО и возможности публикации предложений о трудоустройстве (вакансий)</w:t>
      </w:r>
    </w:p>
    <w:p>
      <w:pPr>
        <w:keepLines w:val="1"/>
        <w:spacing w:after="96"/>
        <w:numPr>
          <w:ilvl w:val="0"/>
          <w:numId w:val="4"/>
        </w:numPr>
      </w:pPr>
      <w:r>
        <w:rPr>
          <w:b w:val="1"/>
          <w:bCs w:val="1"/>
        </w:rPr>
        <w:t xml:space="preserve">Начальная (максимальная) цена договора, лота: </w:t>
      </w:r>
      <w:r>
        <w:rPr>
          <w:b w:val="0"/>
          <w:bCs w:val="0"/>
        </w:rPr>
        <w:t xml:space="preserve">1 322 296.00 (с учетом НДС) в валюте - Российский рубль</w:t>
      </w:r>
      <w:r>
        <w:rPr>
          <w:b w:val="0"/>
          <w:bCs w:val="0"/>
        </w:rPr>
        <w:t xml:space="preserve">1 387 208.33 руб. (с учетом НДС) цена за единицу товара, работы, услуги в валюте - Российский рубль</w:t>
      </w:r>
    </w:p>
    <w:p>
      <w:pPr>
        <w:keepLines w:val="1"/>
        <w:spacing w:after="96"/>
        <w:numPr>
          <w:ilvl w:val="0"/>
          <w:numId w:val="4"/>
        </w:numPr>
      </w:pPr>
      <w:r>
        <w:rPr/>
        <w:t xml:space="preserve">Извещение о проведении настоящей процедуры и документация были размещены «24» февраля 2025г. на сайте АО «Единая электронная торговая площадка» (АО «ЕЭТП»), по адресу в сети «Интернет»: </w:t>
      </w:r>
      <w:hyperlink r:id="rId7" w:history="1">
        <w:r>
          <w:t xml:space="preserve">https://corp.roseltorg.ru</w:t>
        </w:r>
      </w:hyperlink>
    </w:p>
    <w:p>
      <w:pPr>
        <w:keepLines w:val="1"/>
        <w:spacing w:after="96"/>
        <w:numPr>
          <w:ilvl w:val="0"/>
          <w:numId w:val="4"/>
        </w:numPr>
      </w:pPr>
      <w:r>
        <w:rPr/>
        <w:t xml:space="preserve">По окончании срока подачи заявок до «03» марта 2025г. было подано 1 заявка от участников. 0 заявок отозвано.</w:t>
      </w:r>
    </w:p>
    <w:p>
      <w:pPr>
        <w:keepLines w:val="1"/>
        <w:spacing w:after="96"/>
        <w:numPr>
          <w:ilvl w:val="0"/>
          <w:numId w:val="4"/>
        </w:numPr>
      </w:pPr>
      <w:r>
        <w:rPr>
          <w:b w:val="0"/>
          <w:bCs w:val="0"/>
        </w:rPr>
        <w:t xml:space="preserve">Срок исполнения договора: </w:t>
      </w:r>
      <w:r>
        <w:rPr>
          <w:b w:val="0"/>
          <w:bCs w:val="0"/>
        </w:rPr>
        <w:t xml:space="preserve">-</w:t>
      </w:r>
    </w:p>
    <w:p>
      <w:pPr>
        <w:keepLines w:val="1"/>
        <w:spacing w:after="96"/>
        <w:numPr>
          <w:ilvl w:val="0"/>
          <w:numId w:val="4"/>
        </w:numPr>
      </w:pPr>
      <w:r>
        <w:rPr>
          <w:b w:val="1"/>
          <w:bCs w:val="1"/>
        </w:rPr>
        <w:t xml:space="preserve">Сведения об объеме закупаемых товаров, работ, услуг:</w:t>
      </w:r>
    </w:p>
    <w:tbl>
      <w:tblGrid>
        <w:gridCol w:w="2000" w:type="dxa"/>
        <w:gridCol w:w="1800" w:type="dxa"/>
        <w:gridCol w:w="1700" w:type="dxa"/>
        <w:gridCol w:w="1500" w:type="dxa"/>
        <w:gridCol w:w="1700" w:type="dxa"/>
        <w:gridCol w:w="1700" w:type="dxa"/>
      </w:tblGrid>
      <w:tblPr>
        <w:tblStyle w:val="style7471"/>
      </w:tblPr>
      <w:tr>
        <w:trPr>
          <w:cantSplit w:val="1"/>
        </w:trPr>
        <w:tc>
          <w:tcPr>
            <w:tcW w:w="2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Наименование ТРУ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Количество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Единица измерения</w:t>
            </w:r>
          </w:p>
        </w:tc>
        <w:tc>
          <w:tcPr>
            <w:tcW w:w="15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Цена ТРУ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Код ОКПД2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Код ОКВЭД2</w:t>
            </w:r>
          </w:p>
        </w:tc>
      </w:tr>
      <w:tr>
        <w:trPr>
          <w:cantSplit w:val="1"/>
        </w:trPr>
        <w:tc>
          <w:tcPr>
            <w:tcW w:w="2000" w:type="dxa"/>
          </w:tcPr>
          <w:p>
            <w:pPr>
              <w:jc w:val="center"/>
            </w:pPr>
            <w:r>
              <w:rPr/>
              <w:t xml:space="preserve">Оказание услуг по предоставлению доступа к Базе данных резюме с предложениями соискателей о трудоустройстве (резюме) с использованием ПО и возможности публикации предложений о трудоустройстве (вакансий)</w:t>
            </w:r>
          </w:p>
          <w:p>
            <w:pPr>
              <w:jc w:val="center"/>
            </w:pPr>
            <w:r>
              <w:rPr/>
              <w:t xml:space="preserve"/>
            </w:r>
          </w:p>
          <w:p>
            <w:pPr>
              <w:jc w:val="center"/>
            </w:pPr>
            <w:r>
              <w:rPr/>
              <w:t xml:space="preserve"/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/>
              <w:t xml:space="preserve"/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/>
              <w:t xml:space="preserve"/>
            </w:r>
          </w:p>
        </w:tc>
        <w:tc>
          <w:tcPr>
            <w:tcW w:w="1500" w:type="dxa"/>
          </w:tcPr>
          <w:p>
            <w:pPr>
              <w:jc w:val="center"/>
            </w:pPr>
            <w:r>
              <w:rPr/>
              <w:t xml:space="preserve">1387208.33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/>
              <w:t xml:space="preserve">63.11.12.000</w:t>
            </w:r>
          </w:p>
        </w:tc>
        <w:tc>
          <w:tcPr>
            <w:tcW w:w="1700" w:type="dxa"/>
          </w:tcPr>
          <w:p>
            <w:pPr>
              <w:jc w:val="center"/>
            </w:pPr>
            <w:r>
              <w:rPr/>
              <w:t xml:space="preserve">63.11.1</w:t>
            </w:r>
          </w:p>
        </w:tc>
      </w:tr>
    </w:tbl>
    <w:p>
      <w:pPr>
        <w:keepLines w:val="1"/>
        <w:spacing w:after="96"/>
        <w:numPr>
          <w:ilvl w:val="0"/>
          <w:numId w:val="4"/>
        </w:numPr>
      </w:pPr>
      <w:r>
        <w:rPr/>
        <w:t xml:space="preserve">Участниками была предоставлена следующая документация для проведения процедуры:</w:t>
      </w:r>
    </w:p>
    <w:p>
      <w:pPr/>
      <w:r>
        <w:rPr>
          <w:b w:val="1"/>
          <w:bCs w:val="1"/>
        </w:rPr>
        <w:t xml:space="preserve">Заявка №822493759</w:t>
      </w:r>
    </w:p>
    <w:tbl>
      <w:tblGrid>
        <w:gridCol w:w="5000" w:type="dxa"/>
        <w:gridCol w:w="5000" w:type="dxa"/>
      </w:tblGrid>
      <w:tblPr>
        <w:tblStyle w:val="style82142"/>
      </w:tblPr>
      <w:tr>
        <w:trPr>
          <w:cantSplit w:val="1"/>
        </w:trPr>
        <w:tc>
          <w:tcPr>
            <w:tcW w:w="5000" w:type="dxa"/>
          </w:tcPr>
          <w:p>
            <w:pPr/>
            <w:r>
              <w:rPr>
                <w:b w:val="1"/>
                <w:bCs w:val="1"/>
              </w:rPr>
              <w:t xml:space="preserve">Наименование документа</w:t>
            </w:r>
          </w:p>
        </w:tc>
        <w:tc>
          <w:tcPr>
            <w:tcW w:w="5000" w:type="dxa"/>
          </w:tcPr>
          <w:p>
            <w:pPr/>
            <w:r>
              <w:rPr>
                <w:b w:val="1"/>
                <w:bCs w:val="1"/>
              </w:rPr>
              <w:t xml:space="preserve">Наличие документа у участника</w:t>
            </w:r>
          </w:p>
        </w:tc>
      </w:tr>
      <w:tr>
        <w:trPr>
          <w:cantSplit w:val="1"/>
        </w:trPr>
        <w:tc>
          <w:tcPr>
            <w:tcW w:w="5000" w:type="dxa"/>
          </w:tcPr>
          <w:p>
            <w:pPr/>
            <w:r>
              <w:rPr/>
              <w:t xml:space="preserve">1. Согласие на оказание услуг.docx</w:t>
            </w:r>
          </w:p>
        </w:tc>
        <w:tc>
          <w:tcPr>
            <w:tcW w:w="5000" w:type="dxa"/>
          </w:tcPr>
          <w:p>
            <w:pPr/>
            <w:r>
              <w:rPr/>
              <w:t xml:space="preserve"/>
            </w:r>
          </w:p>
        </w:tc>
      </w:tr>
    </w:tbl>
    <w:p>
      <w:pPr>
        <w:spacing w:line="120" w:lineRule="auto"/>
      </w:pPr>
      <w:r>
        <w:rPr/>
        <w:t xml:space="preserve"/>
      </w:r>
    </w:p>
    <w:p>
      <w:pPr>
        <w:keepLines w:val="1"/>
        <w:spacing w:after="96"/>
        <w:numPr>
          <w:ilvl w:val="0"/>
          <w:numId w:val="4"/>
        </w:numPr>
      </w:pPr>
      <w:r>
        <w:rPr/>
        <w:t xml:space="preserve">Комиссия рассмотрела заявки участников процедуры на соответствие требованиям, установленным документацией, и приняла следующее решение:</w:t>
      </w:r>
    </w:p>
    <w:tbl>
      <w:tblGrid>
        <w:gridCol w:w="1600" w:type="dxa"/>
        <w:gridCol w:w="5000" w:type="dxa"/>
        <w:gridCol w:w="5000" w:type="dxa"/>
        <w:gridCol w:w="5000" w:type="dxa"/>
        <w:gridCol w:w="1500" w:type="dxa"/>
      </w:tblGrid>
      <w:tblPr>
        <w:tblStyle w:val="style74917"/>
      </w:tblPr>
      <w:tr>
        <w:trPr>
          <w:cantSplit w:val="1"/>
        </w:trPr>
        <w:tc>
          <w:tcPr>
            <w:tcW w:w="16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Порядковый номер заявки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Дата и время регистрации заявок (МСК)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Решение о допуске заявки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Основание для решения</w:t>
            </w:r>
          </w:p>
        </w:tc>
        <w:tc>
          <w:tcPr>
            <w:tcW w:w="15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Итоговая оценка</w:t>
            </w:r>
          </w:p>
        </w:tc>
      </w:tr>
      <w:tr>
        <w:trPr>
          <w:cantSplit w:val="1"/>
        </w:trPr>
        <w:tc>
          <w:tcPr>
            <w:tcW w:w="1600" w:type="dxa"/>
          </w:tcPr>
          <w:p>
            <w:pPr>
              <w:jc w:val="center"/>
            </w:pPr>
            <w:r>
              <w:rPr/>
              <w:t xml:space="preserve">822493759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27.02.2025 14:40:34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Допущена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/>
              <w:t xml:space="preserve">Состав документов заявителя соответствует требованиям</w:t>
            </w:r>
          </w:p>
        </w:tc>
        <w:tc>
          <w:tcPr>
            <w:tcW w:w="1500" w:type="dxa"/>
          </w:tcPr>
          <w:p>
            <w:pPr>
              <w:jc w:val="center"/>
            </w:pPr>
            <w:r>
              <w:rPr/>
              <w:t xml:space="preserve"/>
            </w:r>
          </w:p>
        </w:tc>
      </w:tr>
    </w:tbl>
    <w:p>
      <w:pPr>
        <w:spacing w:line="120" w:lineRule="auto"/>
      </w:pPr>
      <w:r>
        <w:rPr/>
        <w:t xml:space="preserve"/>
      </w:r>
    </w:p>
    <w:p>
      <w:pPr>
        <w:keepLines w:val="1"/>
        <w:spacing w:after="96"/>
        <w:numPr>
          <w:ilvl w:val="0"/>
          <w:numId w:val="4"/>
        </w:numPr>
      </w:pPr>
      <w:r>
        <w:rPr/>
        <w:t xml:space="preserve">Сведения о решении членов комиссии по каждой заявке: Без комиссии</w:t>
      </w:r>
    </w:p>
    <w:p>
      <w:pPr>
        <w:keepLines w:val="1"/>
        <w:spacing w:after="96"/>
        <w:numPr>
          <w:ilvl w:val="0"/>
          <w:numId w:val="4"/>
        </w:numPr>
      </w:pPr>
      <w:r>
        <w:rPr/>
        <w:t xml:space="preserve">Протокол рассмотрения первых частей заявок будет размещен на сайте Единой информационной системы в сфере закупок (ЕИС) по адресу в сети «Интернет»: http://zakupki.gov.ru и на сайте АО «Единая электронная торговая площадка» (АО «ЕЭТП») по адресу в сети «Интернет»: </w:t>
      </w:r>
      <w:hyperlink r:id="rId7" w:history="1">
        <w:r>
          <w:t xml:space="preserve">https://corp.roseltorg.ru</w:t>
        </w:r>
      </w:hyperlink>
      <w:r>
        <w:rPr/>
        <w:t xml:space="preserve"> в сроки, предусмотренные №223-ФЗ и действующим Положением о закупках.</w:t>
      </w:r>
      <w:r>
        <w:rPr/>
        <w:t xml:space="preserve"/>
      </w:r>
    </w:p>
    <w:sectPr>
      <w:footerReference w:type="default" r:id="rId8"/>
      <w:pgSz w:orient="portrait" w:w="11905.511811023622" w:h="16837.79527559055"/>
      <w:pgMar w:top="1440" w:right="566.9291338582676" w:bottom="1440" w:left="1417.3228346456694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Grid>
      <w:gridCol w:w="8503.937007874016" w:type="dxa"/>
      <w:gridCol w:w="1417.3228346456694" w:type="dxa"/>
    </w:tblGrid>
    <w:tblPr>
      <w:tblW w:w="0" w:type="auto"/>
      <w:tblLayout w:type="autofit"/>
      <w:bidiVisual w:val="0"/>
      <w:tblCellMar>
        <w:top w:w="0" w:type="dxa"/>
        <w:left w:w="0" w:type="dxa"/>
        <w:right w:w="0" w:type="dxa"/>
        <w:bottom w:w="0" w:type="dxa"/>
      </w:tblCellMar>
      <w:tblBorders>
        <w:top w:val="single" w:sz="2" w:color="555555"/>
      </w:tblBorders>
    </w:tblPr>
    <w:tr>
      <w:trPr/>
      <w:tc>
        <w:tcPr>
          <w:tcW w:w="8503.937007874016" w:type="dxa"/>
        </w:tcPr>
        <w:p>
          <w:pPr>
            <w:jc w:val="left"/>
          </w:pPr>
          <w:r>
            <w:rPr/>
            <w:t xml:space="preserve">Протокол рассмотрения первых частей заявок №32514546684 от 03.03.2025г.</w:t>
          </w:r>
        </w:p>
      </w:tc>
      <w:tc>
        <w:tcPr>
          <w:tcW w:w="1417.3228346456694" w:type="dxa"/>
        </w:tcPr>
        <w:p>
          <w:pPr>
            <w:jc w:val="right"/>
          </w:pPr>
          <w:r>
            <w:t xml:space="preserve">стр. </w:t>
          </w: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  <w:r>
            <w:t xml:space="preserve"> из </w:t>
          </w:r>
          <w:r>
            <w:fldChar w:fldCharType="begin"/>
          </w:r>
          <w:r>
            <w:instrText xml:space="preserve">NUMPAGES</w:instrText>
          </w:r>
          <w:r>
            <w:fldChar w:fldCharType="separate"/>
          </w:r>
          <w:r>
            <w:fldChar w:fldCharType="end"/>
          </w:r>
        </w:p>
      </w:tc>
    </w:tr>
  </w:tbl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nsid w:val="1D4F99CE"/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nsid w:val="62164348"/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360"/>
        </w:tabs>
        <w:ind w:left="360" w:hanging="360"/>
      </w:pPr>
      <w:rPr>
        <w:rFonts w:ascii="" w:hAnsi="" w:cs=""/>
      </w:rPr>
    </w:lvl>
    <w:lvl w:ilvl="1">
      <w:start w:val="1"/>
      <w:numFmt w:val="decimal"/>
      <w:suff w:val="tab"/>
      <w:lvlText w:val="%1.%2."/>
      <w:lvlJc w:val="left"/>
      <w:pPr>
        <w:tabs>
          <w:tab w:val="num" w:pos="792"/>
        </w:tabs>
        <w:ind w:left="792" w:hanging="432"/>
      </w:pPr>
      <w:rPr>
        <w:rFonts w:ascii="" w:hAnsi="" w:cs=""/>
      </w:rPr>
    </w:lvl>
    <w:lvl w:ilvl="2">
      <w:start w:val="1"/>
      <w:numFmt w:val="decimal"/>
      <w:suff w:val="tab"/>
      <w:lvlText w:val="%1.%2.%3."/>
      <w:lvlJc w:val="left"/>
      <w:pPr>
        <w:tabs>
          <w:tab w:val="num" w:pos="1224"/>
        </w:tabs>
        <w:ind w:left="1224" w:hanging="504"/>
      </w:pPr>
      <w:rPr>
        <w:rFonts w:ascii="" w:hAnsi="" w:cs=""/>
      </w:rPr>
    </w:lvl>
    <w:lvl w:ilvl="3">
      <w:start w:val="1"/>
      <w:numFmt w:val="decimal"/>
      <w:suff w:val="tab"/>
      <w:lvlText w:val="%1.%2.%3.%4."/>
      <w:lvlJc w:val="left"/>
      <w:pPr>
        <w:tabs>
          <w:tab w:val="num" w:pos="1800"/>
        </w:tabs>
        <w:ind w:left="1728" w:hanging="648"/>
      </w:pPr>
      <w:rPr>
        <w:rFonts w:ascii="" w:hAnsi="" w:cs=""/>
      </w:rPr>
    </w:lvl>
    <w:lvl w:ilvl="4">
      <w:start w:val="1"/>
      <w:numFmt w:val="decimal"/>
      <w:suff w:val="tab"/>
      <w:lvlText w:val="%1.%2.%3.%4.%5."/>
      <w:lvlJc w:val="left"/>
      <w:pPr>
        <w:tabs>
          <w:tab w:val="num" w:pos="2520"/>
        </w:tabs>
        <w:ind w:left="2232" w:hanging="792"/>
      </w:pPr>
      <w:rPr>
        <w:rFonts w:ascii="" w:hAnsi="" w:cs=""/>
      </w:rPr>
    </w:lvl>
    <w:lvl w:ilvl="5">
      <w:start w:val="1"/>
      <w:numFmt w:val="decimal"/>
      <w:suff w:val="tab"/>
      <w:lvlText w:val="%1.%2.%3.%4.%5.%6."/>
      <w:lvlJc w:val="left"/>
      <w:pPr>
        <w:tabs>
          <w:tab w:val="num" w:pos="2880"/>
        </w:tabs>
        <w:ind w:left="2736" w:hanging="936"/>
      </w:pPr>
      <w:rPr>
        <w:rFonts w:ascii="" w:hAnsi="" w:cs=""/>
      </w:rPr>
    </w:lvl>
    <w:lvl w:ilvl="6">
      <w:start w:val="1"/>
      <w:numFmt w:val="decimal"/>
      <w:suff w:val="tab"/>
      <w:lvlText w:val="%1.%2.%3.%4.%5.%6.%7."/>
      <w:lvlJc w:val="left"/>
      <w:pPr>
        <w:tabs>
          <w:tab w:val="num" w:pos="3600"/>
        </w:tabs>
        <w:ind w:left="3240" w:hanging="1080"/>
      </w:pPr>
      <w:rPr>
        <w:rFonts w:ascii="" w:hAnsi="" w:cs=""/>
      </w:rPr>
    </w:lvl>
    <w:lvl w:ilvl="7">
      <w:start w:val="1"/>
      <w:numFmt w:val="decimal"/>
      <w:suff w:val="tab"/>
      <w:lvlText w:val="%1.%2.%3.%4.%5.%6.%7.%8."/>
      <w:lvlJc w:val="left"/>
      <w:pPr>
        <w:tabs>
          <w:tab w:val="num" w:pos="3960"/>
        </w:tabs>
        <w:ind w:left="3744" w:hanging="1224"/>
      </w:pPr>
      <w:rPr>
        <w:rFonts w:ascii="" w:hAnsi="" w:cs=""/>
      </w:rPr>
    </w:lvl>
    <w:lvl w:ilvl="8">
      <w:start w:val="1"/>
      <w:numFmt w:val="decimal"/>
      <w:suff w:val="tab"/>
      <w:lvlText w:val="%1.%2.%3.%4.%5.%6.%7.%8.%9."/>
      <w:lvlJc w:val="left"/>
      <w:pPr>
        <w:tabs>
          <w:tab w:val="num" w:pos="4680"/>
        </w:tabs>
        <w:ind w:left="4320" w:hanging="1440"/>
      </w:pPr>
      <w:rPr>
        <w:rFonts w:ascii="" w:hAnsi="" w:cs=""/>
      </w:rPr>
    </w:lvl>
  </w:abstractNum>
  <w:num w:numId="3">
    <w:abstractNumId w:val="3"/>
  </w:num>
  <w:num w:numId="4">
    <w:abstractNumId w:val="4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ru-ru" w:eastAsia="x-none" w:bidi="x-none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ru-ru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OwnStyle"/>
    <w:rPr>
      <w:b w:val="1"/>
      <w:bCs w:val="1"/>
    </w:rPr>
  </w:style>
  <w:style w:type="paragraph" w:customStyle="1" w:styleId="P-Style">
    <w:name w:val="P-Style"/>
    <w:basedOn w:val="Normal"/>
    <w:pPr>
      <w:keepLines w:val="1"/>
      <w:spacing w:after="96"/>
    </w:pPr>
  </w:style>
  <w:style w:type="table" w:customStyle="1" w:styleId="style7471">
    <w:name w:val="style7471"/>
    <w:uiPriority w:val="99"/>
    <w:tblPr>
      <w:tblW w:w="0" w:type="auto"/>
      <w:tblLayout w:type="autofit"/>
      <w:bidiVisual w:val="0"/>
      <w:tblBorders>
        <w:top w:val="single" w:sz="1" w:color="000000"/>
        <w:left w:val="single" w:sz="1" w:color="000000"/>
        <w:right w:val="single" w:sz="1" w:color="000000"/>
        <w:bottom w:val="single" w:sz="1" w:color="000000"/>
        <w:insideH w:val="single" w:sz="1" w:color="000000"/>
        <w:insideV w:val="single" w:sz="1" w:color="000000"/>
      </w:tblBorders>
    </w:tblPr>
  </w:style>
  <w:style w:type="table" w:customStyle="1" w:styleId="style82142">
    <w:name w:val="style82142"/>
    <w:uiPriority w:val="99"/>
    <w:tblPr>
      <w:tblW w:w="0" w:type="auto"/>
      <w:tblLayout w:type="autofit"/>
      <w:bidiVisual w:val="0"/>
      <w:tblBorders>
        <w:top w:val="single" w:sz="1" w:color="000000"/>
        <w:left w:val="single" w:sz="1" w:color="000000"/>
        <w:right w:val="single" w:sz="1" w:color="000000"/>
        <w:bottom w:val="single" w:sz="1" w:color="000000"/>
        <w:insideH w:val="single" w:sz="1" w:color="000000"/>
        <w:insideV w:val="single" w:sz="1" w:color="000000"/>
      </w:tblBorders>
    </w:tblPr>
  </w:style>
  <w:style w:type="table" w:customStyle="1" w:styleId="style74917">
    <w:name w:val="style74917"/>
    <w:uiPriority w:val="99"/>
    <w:tblPr>
      <w:tblW w:w="0" w:type="auto"/>
      <w:tblLayout w:type="autofit"/>
      <w:bidiVisual w:val="0"/>
      <w:tblBorders>
        <w:top w:val="single" w:sz="1" w:color="000000"/>
        <w:left w:val="single" w:sz="1" w:color="000000"/>
        <w:right w:val="single" w:sz="1" w:color="000000"/>
        <w:bottom w:val="single" w:sz="1" w:color="000000"/>
        <w:insideH w:val="single" w:sz="1" w:color="000000"/>
        <w:insideV w:val="single" w:sz="1" w:color="000000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yperlink" Target="https://corp.roseltorg.ru" TargetMode="Externa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2025-03-03T12:07:11+03:00</dcterms:created>
  <dcterms:modified xsi:type="dcterms:W3CDTF">2025-03-03T12:07:11+03:00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