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 xml:space="preserve">Подведения итогов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32514484580</w:t>
      </w:r>
      <w:r>
        <w:rPr>
          <w:rFonts w:ascii="Arial" w:hAnsi="Arial" w:cs="Arial"/>
          <w:sz w:val="20"/>
          <w:szCs w:val="20"/>
        </w:rPr>
      </w:r>
    </w:p>
    <w:p>
      <w:pPr>
        <w:jc w:val="center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tbl>
      <w:tblPr>
        <w:tblW w:w="20420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096"/>
        <w:gridCol w:w="5096"/>
        <w:gridCol w:w="5132"/>
      </w:tblGrid>
      <w:tr>
        <w:tblPrEx/>
        <w:trPr>
          <w:trHeight w:val="1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Калининград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6" w:type="dxa"/>
            <w:textDirection w:val="lrTb"/>
            <w:noWrap w:val="false"/>
          </w:tcPr>
          <w:p>
            <w:pPr>
              <w:jc w:val="right"/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марта 2025г.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6" w:type="dxa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32" w:type="dxa"/>
            <w:textDirection w:val="lrTb"/>
            <w:noWrap w:val="false"/>
          </w:tcPr>
          <w:p>
            <w:pPr>
              <w:jc w:val="right"/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Заказчиком является: </w:t>
      </w:r>
      <w:r>
        <w:rPr>
          <w:rFonts w:ascii="Times New Roman" w:hAnsi="Times New Roman" w:cs="Times New Roman"/>
          <w:sz w:val="24"/>
          <w:szCs w:val="24"/>
        </w:rPr>
        <w:t xml:space="preserve">Акционерное общество "Калининградская генерирующая компания"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>
        <w:rPr>
          <w:rFonts w:ascii="Times New Roman" w:hAnsi="Times New Roman" w:cs="Times New Roman"/>
          <w:sz w:val="24"/>
          <w:szCs w:val="24"/>
        </w:rPr>
        <w:t xml:space="preserve">Акционерное общество "Калининградская генерирующая компания"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Запрос котировок</w:t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ind w:firstLine="567"/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>
        <w:tblPrEx/>
        <w:trPr>
          <w:trHeight w:val="100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096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процедуры и предмета договора лота: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32" w:type="dxa"/>
            <w:textDirection w:val="lrTb"/>
            <w:noWrap w:val="false"/>
          </w:tcPr>
          <w:p>
            <w:pPr>
              <w:jc w:val="both"/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Запрос котировок в электронной форме на право заключения договора на выполнение работ по оснащению автоматической установкой пожарной сигнализации, системой оповещения и управления эв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акуацией людей при пожаре котельной (инв.№ 00432), здания мазутонасосной (Киевская) (инв.№00430), проходной (инв.№00448), здания химводоочистки (инв.№00429), трансформаторной подстанции (инв.№00434), насосной станции (инв.№00431) подразделения РТС «Южная».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</w:r>
          </w:p>
        </w:tc>
      </w:tr>
    </w:tbl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3 365 400 RUB</w:t>
      </w:r>
      <w:r>
        <w:rPr>
          <w:rFonts w:ascii="Arial" w:hAnsi="Arial" w:cs="Arial"/>
          <w:sz w:val="20"/>
          <w:szCs w:val="20"/>
        </w:rPr>
      </w:r>
    </w:p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Извещение и аукционная документация о проведении настоящей процедуры были размещены </w:t>
      </w:r>
      <w:r>
        <w:rPr>
          <w:rFonts w:ascii="Times New Roman" w:hAnsi="Times New Roman" w:cs="Times New Roman"/>
          <w:sz w:val="24"/>
          <w:szCs w:val="24"/>
        </w:rPr>
        <w:t xml:space="preserve">«06» февраля 2025г.</w:t>
      </w:r>
      <w:r>
        <w:rPr>
          <w:rFonts w:ascii="Times New Roman" w:hAnsi="Times New Roman" w:cs="Times New Roman"/>
          <w:sz w:val="24"/>
          <w:szCs w:val="24"/>
        </w:rPr>
        <w:t xml:space="preserve"> на сайте Единой электронной торговой площадки (АО «ЕЭТП»), по адресу в сети «Интернет»: </w:t>
      </w:r>
      <w:r>
        <w:rPr>
          <w:rFonts w:ascii="Times New Roman" w:hAnsi="Times New Roman" w:cs="Times New Roman"/>
          <w:bCs/>
          <w:sz w:val="24"/>
          <w:szCs w:val="24"/>
        </w:rPr>
        <w:t xml:space="preserve">https://rosseti.roseltorg.ru/</w:t>
      </w:r>
      <w:r>
        <w:rPr>
          <w:rFonts w:ascii="Times New Roman" w:hAnsi="Times New Roman" w:cs="Times New Roman"/>
          <w:bCs/>
          <w:sz w:val="24"/>
          <w:szCs w:val="24"/>
        </w:rPr>
        <w:t xml:space="preserve">.</w:t>
      </w:r>
      <w:r>
        <w:rPr>
          <w:rFonts w:ascii="Arial" w:hAnsi="Arial" w:cs="Arial"/>
          <w:sz w:val="20"/>
          <w:szCs w:val="20"/>
        </w:rPr>
      </w:r>
    </w:p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Состав ко</w:t>
      </w:r>
      <w:r>
        <w:rPr>
          <w:rFonts w:ascii="Times New Roman" w:hAnsi="Times New Roman" w:cs="Times New Roman"/>
          <w:sz w:val="24"/>
          <w:szCs w:val="24"/>
        </w:rPr>
        <w:t xml:space="preserve">миссии. </w:t>
      </w:r>
      <w:r>
        <w:rPr>
          <w:rFonts w:ascii="Times New Roman" w:hAnsi="Times New Roman" w:cs="Times New Roman"/>
          <w:sz w:val="24"/>
          <w:szCs w:val="24"/>
        </w:rPr>
        <w:br/>
        <w:t xml:space="preserve">На заседании комиссии (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Закупочная/конкурсная комиссия</w:t>
      </w:r>
      <w:r>
        <w:rPr>
          <w:rFonts w:ascii="Times New Roman" w:hAnsi="Times New Roman" w:cs="Times New Roman"/>
          <w:sz w:val="24"/>
          <w:szCs w:val="24"/>
        </w:rPr>
        <w:t xml:space="preserve">)</w:t>
      </w:r>
      <w:r>
        <w:rPr>
          <w:rFonts w:ascii="Times New Roman" w:hAnsi="Times New Roman" w:cs="Times New Roman"/>
          <w:sz w:val="24"/>
          <w:szCs w:val="24"/>
        </w:rPr>
        <w:t xml:space="preserve">, при подведении ит</w:t>
      </w:r>
      <w:r>
        <w:rPr>
          <w:rFonts w:ascii="Times New Roman" w:hAnsi="Times New Roman" w:cs="Times New Roman"/>
          <w:sz w:val="24"/>
          <w:szCs w:val="24"/>
        </w:rPr>
        <w:t xml:space="preserve">огов процедуры присутствовали:</w:t>
      </w:r>
      <w:r>
        <w:rPr>
          <w:rFonts w:ascii="Arial" w:hAnsi="Arial" w:cs="Arial"/>
          <w:sz w:val="20"/>
          <w:szCs w:val="20"/>
        </w:rPr>
      </w:r>
    </w:p>
    <w:tbl>
      <w:tblPr>
        <w:tblW w:w="5000" w:type="pct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1134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комиссии: Котивец Дмитрий Владимирович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комиссии: Лемешев Андрей Владимирович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комиссии: Рассадкин Николай Юрьевич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комиссии: Скородумов Игорь Юрьевич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комиссии: Федорова Анастасия Николаевна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ind w:left="1080" w:right="0"/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 комиссии: Завада Ольга Сергеевна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Были рассмотрены заявки следующих участников процедуры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Arial" w:hAnsi="Arial" w:cs="Arial"/>
          <w:sz w:val="20"/>
          <w:szCs w:val="20"/>
        </w:rPr>
      </w:r>
    </w:p>
    <w:tbl>
      <w:tblPr>
        <w:tblW w:w="5000" w:type="pct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286"/>
        <w:gridCol w:w="556"/>
        <w:gridCol w:w="986"/>
        <w:gridCol w:w="970"/>
        <w:gridCol w:w="1716"/>
        <w:gridCol w:w="1716"/>
        <w:gridCol w:w="1323"/>
        <w:gridCol w:w="1010"/>
        <w:gridCol w:w="1010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№ п/п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Место заявки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Порядковый номер заявки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Дата и время регистрации заявки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Наименование участника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Юридический адрес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Предмет закупки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Ценовые предложения с НДС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</w:rPr>
              <w:t xml:space="preserve">Ценовые предложения без НДС</w:t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27.02.2025 13:23 (MSK +03:00)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ООО "БЕЗОПАСНОСТЬ +"</w:t>
              <w:br/>
              <w:t xml:space="preserve">ИНН/КПП 3907208888/390701001</w:t>
              <w:br/>
              <w:t xml:space="preserve">ОГРН 1103925004996</w:t>
              <w:br/>
              <w:t xml:space="preserve">Юридический адрес: </w:t>
              <w:br/>
              <w:t xml:space="preserve">236039, Российская Федерация, ОБЛАСТЬ КАЛИНИНГРАДСКАЯ, Г. КАЛИНИНГРАД, ПР-КТ ЛЕНИНСКИЙ, Д.91, КВ.4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ОБЛАСТЬ КАЛИНИНГРАДСКАЯ, Г. КАЛИНИНГРАД, ПР-КТ ЛЕНИНСКИЙ, Д.91, КВ.4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Выполнение работ по оснащению автоматической установкой пожарной сигнализации, системой оповещения и управления эвакуацией людей при пожаре производственных помещений 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2 389 200.00</w:t>
              <w:br/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2 389 200.00</w:t>
              <w:br/>
            </w:r>
            <w:r>
              <w:rPr>
                <w:sz w:val="18"/>
                <w:szCs w:val="18"/>
              </w:rPr>
            </w:r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26.02.2025 15:39 (MSK +03:00)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ООО "ДЖЕТ ПРО"</w:t>
              <w:br/>
              <w:t xml:space="preserve">ИНН/КПП 3906995343/390601001</w:t>
              <w:br/>
              <w:t xml:space="preserve">ОГРН 1163926075455</w:t>
              <w:br/>
              <w:t xml:space="preserve">Юридический адрес: </w:t>
              <w:br/>
              <w:t xml:space="preserve">236023, Российская Федерация, КАЛИНИНГРАДСКАЯ ОБЛАСТЬ, г.о. ГОРОД КАЛИНИНГРАД, Г КАЛИНИНГРАД, УЛ ОСЕННЯЯ, Д. 30, ПОМЕЩ. 5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КАЛИНИНГРАДСКАЯ ОБЛАСТЬ, г.о. ГОРОД КАЛИНИНГРАД, Г КАЛИНИНГРАД, УЛ ОСЕННЯЯ, Д. 30, ПОМЕЩ. 5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Выполнение работ по оснащению автоматической установкой пожарной сигнализации, системой оповещения и управления эвакуацией людей при пожаре производственных помещений </w:t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2 782 500.00</w:t>
              <w:br/>
            </w:r>
            <w:r>
              <w:rPr>
                <w:sz w:val="18"/>
                <w:szCs w:val="18"/>
              </w:rPr>
            </w:r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  <w:rPr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2 650 000.00</w:t>
              <w:br/>
            </w:r>
            <w:r>
              <w:rPr>
                <w:sz w:val="18"/>
                <w:szCs w:val="18"/>
              </w:rPr>
            </w:r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numPr>
          <w:ilvl w:val="0"/>
          <w:numId w:val="1"/>
        </w:numPr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рассмотрела </w:t>
      </w:r>
      <w:r>
        <w:rPr>
          <w:rFonts w:ascii="Times New Roman" w:hAnsi="Times New Roman" w:cs="Times New Roman"/>
          <w:sz w:val="24"/>
          <w:szCs w:val="24"/>
        </w:rPr>
        <w:t xml:space="preserve">заявки</w:t>
      </w:r>
      <w:r>
        <w:rPr>
          <w:rFonts w:ascii="Times New Roman" w:hAnsi="Times New Roman" w:cs="Times New Roman"/>
          <w:sz w:val="24"/>
          <w:szCs w:val="24"/>
        </w:rPr>
        <w:t xml:space="preserve"> участников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процедуры на соответствие требованиям, установленным документацией процедуры, а также содержащиеся в реестре участников конкурсных процедур, получивших аккредитацию на электронной площадке, сведения об участнике, подавшем заявку на участие в процедуре</w:t>
      </w:r>
      <w:r>
        <w:rPr>
          <w:rFonts w:ascii="Times New Roman" w:hAnsi="Times New Roman" w:cs="Times New Roman"/>
          <w:sz w:val="24"/>
          <w:szCs w:val="24"/>
        </w:rPr>
        <w:t xml:space="preserve">,</w:t>
      </w:r>
      <w:r>
        <w:rPr>
          <w:rFonts w:ascii="Times New Roman" w:hAnsi="Times New Roman" w:cs="Times New Roman"/>
          <w:sz w:val="24"/>
          <w:szCs w:val="24"/>
        </w:rPr>
        <w:t xml:space="preserve"> и приняла следующие решение:</w:t>
      </w:r>
      <w:r>
        <w:rPr>
          <w:rFonts w:ascii="Arial" w:hAnsi="Arial" w:cs="Arial"/>
          <w:sz w:val="20"/>
          <w:szCs w:val="20"/>
        </w:rPr>
      </w:r>
    </w:p>
    <w:p>
      <w:pPr>
        <w:pStyle w:val="629"/>
        <w:numPr>
          <w:ilvl w:val="1"/>
          <w:numId w:val="1"/>
        </w:numPr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заявителей:</w:t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000" w:type="pct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802"/>
        <w:gridCol w:w="1456"/>
        <w:gridCol w:w="1488"/>
        <w:gridCol w:w="2861"/>
        <w:gridCol w:w="1436"/>
        <w:gridCol w:w="1820"/>
      </w:tblGrid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Место заявки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Порядковый номер заявки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Дата и время регистрации заявки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Наименование участника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Статус допуска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Основание для решения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27.02.2025 13:23:36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ОБЩЕСТВО С ОГРАНИЧЕННОЙ ОТВЕТСТВЕННОСТЬЮ "БЕЗОПАСНОСТЬ +"</w:t>
              <w:br/>
              <w:t xml:space="preserve">ИНН/КПП 3907208888/390701001</w:t>
              <w:br/>
              <w:t xml:space="preserve">ОГРН 1103925004996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  <w:r/>
          </w:p>
        </w:tc>
      </w:tr>
      <w:tr>
        <w:tblPrEx/>
        <w:trPr/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26.02.2025 15:39:25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ОБЩЕСТВО С ОГРАНИЧЕННОЙ ОТВЕТСТВЕННОСТЬЮ "ДЖЕТ ПРО"</w:t>
              <w:br/>
              <w:t xml:space="preserve">ИНН/КПП 3906995343/390601001</w:t>
              <w:br/>
              <w:t xml:space="preserve">ОГРН 1163926075455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Соответствует</w:t>
            </w:r>
            <w:r/>
          </w:p>
        </w:tc>
        <w:tc>
          <w:tcPr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Состав документов заявителя соответствует требованиям документации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p>
      <w:pPr>
        <w:ind w:left="0" w:firstLine="0"/>
        <w:jc w:val="both"/>
        <w:keepLines/>
        <w:spacing w:after="96"/>
        <w:tabs>
          <w:tab w:val="num" w:pos="426" w:leader="none"/>
          <w:tab w:val="clear" w:pos="792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6.2.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 соответствии с п. 13 части II «Информационная карта закупки» извещения о закупке, изменить сроки проведения этапов, следующих после окончания срока подачи заявок, следующим образом: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both"/>
        <w:spacing w:line="12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установить новый срок подведения итогов 03.03.2025 г.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before="0" w:after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sz w:val="24"/>
          <w:szCs w:val="24"/>
        </w:rPr>
      </w:r>
    </w:p>
    <w:p>
      <w:pPr>
        <w:ind w:left="0" w:right="0" w:firstLine="0"/>
        <w:jc w:val="both"/>
        <w:keepLines/>
        <w:spacing w:after="96"/>
      </w:pPr>
      <w:r>
        <w:rPr>
          <w:sz w:val="24"/>
          <w:szCs w:val="24"/>
          <w:highlight w:val="none"/>
        </w:rPr>
        <w:t xml:space="preserve">7. </w:t>
      </w:r>
      <w:r>
        <w:rPr>
          <w:rFonts w:ascii="Times New Roman" w:hAnsi="Times New Roman" w:cs="Times New Roman"/>
          <w:sz w:val="24"/>
          <w:szCs w:val="24"/>
        </w:rPr>
        <w:t xml:space="preserve">По результатам подведения итогов принято решение признать победителем и заключить договор с </w:t>
      </w:r>
      <w:r>
        <w:rPr>
          <w:rFonts w:ascii="Times New Roman" w:hAnsi="Times New Roman" w:cs="Times New Roman"/>
          <w:bCs/>
          <w:sz w:val="24"/>
          <w:szCs w:val="24"/>
        </w:rPr>
        <w:t xml:space="preserve">ОБЩЕСТВО С ОГРАНИЧЕННОЙ ОТВЕТСТВЕННОСТЬЮ "БЕЗОПАСНОСТЬ +"</w:t>
      </w:r>
      <w:r>
        <w:rPr>
          <w:rFonts w:ascii="Times New Roman" w:hAnsi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ена договора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2 389 200.00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руб. без НДС (НДС не предусмотрен).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Остальные условия по договору в соответствии с документацией о закупке и заявкой победителя запроса котировок </w:t>
      </w:r>
      <w:r>
        <w:rPr>
          <w:rFonts w:ascii="Times New Roman" w:hAnsi="Times New Roman" w:cs="Times New Roman"/>
          <w:bCs/>
          <w:sz w:val="24"/>
          <w:szCs w:val="24"/>
        </w:rPr>
        <w:t xml:space="preserve">ОБЩЕСТВО С ОГРАНИЧЕННОЙ ОТВЕТСТВЕННОСТЬЮ "БЕЗОПАСНОСТЬ +"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sz w:val="24"/>
          <w:szCs w:val="24"/>
        </w:rPr>
      </w:r>
      <w:r/>
      <w:r>
        <w:rPr>
          <w:rFonts w:ascii="Times New Roman" w:hAnsi="Times New Roman" w:cs="Times New Roman"/>
          <w:iCs/>
          <w:color w:val="333333"/>
          <w:sz w:val="24"/>
          <w:szCs w:val="24"/>
          <w:highlight w:val="none"/>
          <w:shd w:val="clear" w:color="auto" w:fill="ffffff"/>
        </w:rPr>
      </w:r>
      <w:r>
        <w:rPr>
          <w:rFonts w:ascii="Times New Roman" w:hAnsi="Times New Roman" w:cs="Times New Roman"/>
          <w:iCs/>
          <w:color w:val="333333"/>
          <w:sz w:val="24"/>
          <w:szCs w:val="24"/>
          <w:highlight w:val="none"/>
          <w:shd w:val="clear" w:color="auto" w:fill="ffffff"/>
        </w:rPr>
      </w:r>
      <w:r/>
    </w:p>
    <w:p>
      <w:pPr>
        <w:ind w:left="0" w:firstLine="0"/>
        <w:jc w:val="both"/>
        <w:spacing w:after="0" w:line="240" w:lineRule="auto"/>
        <w:widowControl w:val="off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8. Протокол подведения итогов процедуры будет размещен на сайте Единой электронной торговой площадки, по адресу в сети «Интернет»: </w:t>
      </w:r>
      <w:r>
        <w:rPr>
          <w:rFonts w:ascii="Times New Roman" w:hAnsi="Times New Roman" w:cs="Times New Roman"/>
          <w:bCs/>
          <w:sz w:val="24"/>
          <w:szCs w:val="24"/>
        </w:rPr>
        <w:t xml:space="preserve">https://rosseti.roseltorg.ru/</w:t>
      </w:r>
      <w:r>
        <w:rPr>
          <w:rFonts w:ascii="Times New Roman" w:hAnsi="Times New Roman" w:cs="Times New Roman"/>
          <w:sz w:val="24"/>
          <w:szCs w:val="24"/>
        </w:rPr>
        <w:t xml:space="preserve"> в течение дня, следующего за днем подписания настоящего протокола.</w:t>
      </w:r>
      <w:r>
        <w:rPr>
          <w:rFonts w:ascii="Arial" w:hAnsi="Arial" w:cs="Arial"/>
          <w:sz w:val="20"/>
          <w:szCs w:val="20"/>
        </w:rPr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7"/>
      </w:tblGrid>
      <w:tr>
        <w:tblPrEx/>
        <w:trPr>
          <w:trHeight w:val="56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0227" w:type="dxa"/>
            <w:vAlign w:val="center"/>
            <w:textDirection w:val="lrTb"/>
            <w:noWrap w:val="false"/>
          </w:tcPr>
          <w:p>
            <w:pPr>
              <w:keepLines/>
              <w:keepNext/>
              <w:spacing w:after="0" w:line="240" w:lineRule="auto"/>
              <w:widowControl w:val="off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Члены комиссии, присутствующие на заседании: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>
      <w:pPr>
        <w:spacing w:after="0"/>
        <w:rPr>
          <w:rFonts w:ascii="Times New Roman" w:hAnsi="Times New Roman" w:cs="Times New Roman"/>
          <w:b/>
          <w:bCs/>
          <w:sz w:val="2"/>
          <w:szCs w:val="2"/>
        </w:rPr>
      </w:pPr>
      <w:r>
        <w:rPr>
          <w:rFonts w:ascii="Times New Roman" w:hAnsi="Times New Roman" w:cs="Times New Roman"/>
          <w:b/>
          <w:bCs/>
          <w:sz w:val="2"/>
          <w:szCs w:val="2"/>
        </w:rPr>
      </w:r>
      <w:r>
        <w:rPr>
          <w:rFonts w:ascii="Times New Roman" w:hAnsi="Times New Roman" w:cs="Times New Roman"/>
          <w:b/>
          <w:bCs/>
          <w:sz w:val="2"/>
          <w:szCs w:val="2"/>
        </w:rPr>
      </w:r>
    </w:p>
    <w:tbl>
      <w:tblPr>
        <w:tblW w:w="5000" w:type="pct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2727"/>
        <w:gridCol w:w="3100"/>
        <w:gridCol w:w="3570"/>
      </w:tblGrid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Председатель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Котивец Дмитрий Владимирович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Зам. председателя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Лемешев Андрей Владимирович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Рассадкин Николай Юрьевич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Скородумов Игорь Юрьевич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Член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Федорова Анастасия Николаевна</w:t>
            </w:r>
            <w:r/>
          </w:p>
        </w:tc>
      </w:tr>
      <w:tr>
        <w:tblPrEx/>
        <w:trPr/>
        <w:tc>
          <w:tcPr>
            <w:tcW w:w="2727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Секретарь комиссии</w:t>
            </w:r>
            <w:r/>
          </w:p>
        </w:tc>
        <w:tc>
          <w:tcPr>
            <w:tcW w:w="310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_________________________</w:t>
            </w:r>
            <w:r/>
          </w:p>
        </w:tc>
        <w:tc>
          <w:tcPr>
            <w:tcW w:w="35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Завада Ольга Сергеевна</w:t>
            </w:r>
            <w:r/>
          </w:p>
        </w:tc>
      </w:tr>
    </w:tbl>
    <w:p>
      <w:pPr>
        <w:spacing w:before="0" w:after="0"/>
      </w:pPr>
      <w:r>
        <w:rPr>
          <w:rFonts w:ascii="Times New Roman" w:hAnsi="Times New Roman" w:eastAsia="Times New Roman" w:cs="Times New Roman"/>
          <w:sz w:val="2"/>
          <w:szCs w:val="2"/>
        </w:rPr>
        <w:t xml:space="preserve"> </w:t>
      </w:r>
      <w:r/>
    </w:p>
    <w:sectPr>
      <w:footnotePr/>
      <w:endnotePr/>
      <w:type w:val="nextPage"/>
      <w:pgSz w:w="11907" w:h="16840" w:orient="portrait"/>
      <w:pgMar w:top="1077" w:right="567" w:bottom="964" w:left="1077" w:header="57" w:footer="567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87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200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2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4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6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8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60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2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47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25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1632" w:hanging="106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suff w:val="tab"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  <w:tabs>
          <w:tab w:val="num" w:pos="792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  <w:tabs>
          <w:tab w:val="num" w:pos="1224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  <w:tabs>
          <w:tab w:val="num" w:pos="252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  <w:tabs>
          <w:tab w:val="num" w:pos="28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  <w:tabs>
          <w:tab w:val="num" w:pos="360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  <w:tabs>
          <w:tab w:val="num" w:pos="396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  <w:tabs>
          <w:tab w:val="num" w:pos="4680" w:leader="none"/>
        </w:tabs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suff w:val="tab"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 w:ascii="Times New Roman" w:hAnsi="Times New Roman" w:cs="Times New Roman"/>
        <w:b/>
        <w:sz w:val="24"/>
      </w:rPr>
    </w:lvl>
    <w:lvl w:ilvl="1">
      <w:start w:val="1"/>
      <w:numFmt w:val="decimal"/>
      <w:isLgl/>
      <w:suff w:val="tab"/>
      <w:lvlText w:val="%1.%2."/>
      <w:lvlJc w:val="left"/>
      <w:pPr>
        <w:ind w:left="927" w:hanging="360"/>
      </w:pPr>
      <w:rPr>
        <w:rFonts w:hint="default"/>
        <w:b/>
      </w:rPr>
    </w:lvl>
    <w:lvl w:ilvl="2">
      <w:start w:val="1"/>
      <w:numFmt w:val="decimal"/>
      <w:isLgl/>
      <w:suff w:val="tab"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3816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5"/>
    <w:next w:val="625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6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5"/>
    <w:next w:val="625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6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5"/>
    <w:next w:val="625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6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5"/>
    <w:next w:val="625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6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5"/>
    <w:next w:val="625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6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5"/>
    <w:next w:val="625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6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5"/>
    <w:next w:val="625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5"/>
    <w:next w:val="625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5"/>
    <w:next w:val="625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6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5"/>
    <w:next w:val="625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6"/>
    <w:link w:val="34"/>
    <w:uiPriority w:val="10"/>
    <w:rPr>
      <w:sz w:val="48"/>
      <w:szCs w:val="48"/>
    </w:rPr>
  </w:style>
  <w:style w:type="paragraph" w:styleId="36">
    <w:name w:val="Subtitle"/>
    <w:basedOn w:val="625"/>
    <w:next w:val="625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6"/>
    <w:link w:val="36"/>
    <w:uiPriority w:val="11"/>
    <w:rPr>
      <w:sz w:val="24"/>
      <w:szCs w:val="24"/>
    </w:rPr>
  </w:style>
  <w:style w:type="paragraph" w:styleId="38">
    <w:name w:val="Quote"/>
    <w:basedOn w:val="625"/>
    <w:next w:val="625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5"/>
    <w:next w:val="625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6"/>
    <w:link w:val="42"/>
    <w:uiPriority w:val="99"/>
  </w:style>
  <w:style w:type="paragraph" w:styleId="44">
    <w:name w:val="Footer"/>
    <w:basedOn w:val="62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6"/>
    <w:link w:val="44"/>
    <w:uiPriority w:val="99"/>
  </w:style>
  <w:style w:type="paragraph" w:styleId="46">
    <w:name w:val="Caption"/>
    <w:basedOn w:val="625"/>
    <w:next w:val="62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2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2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6"/>
    <w:uiPriority w:val="99"/>
    <w:unhideWhenUsed/>
    <w:rPr>
      <w:vertAlign w:val="superscript"/>
    </w:rPr>
  </w:style>
  <w:style w:type="paragraph" w:styleId="178">
    <w:name w:val="endnote text"/>
    <w:basedOn w:val="62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6"/>
    <w:uiPriority w:val="99"/>
    <w:semiHidden/>
    <w:unhideWhenUsed/>
    <w:rPr>
      <w:vertAlign w:val="superscript"/>
    </w:rPr>
  </w:style>
  <w:style w:type="paragraph" w:styleId="181">
    <w:name w:val="toc 1"/>
    <w:basedOn w:val="625"/>
    <w:next w:val="62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5"/>
    <w:next w:val="62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5"/>
    <w:next w:val="62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5"/>
    <w:next w:val="62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5"/>
    <w:next w:val="62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5"/>
    <w:next w:val="62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5"/>
    <w:next w:val="62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5"/>
    <w:next w:val="62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5"/>
    <w:next w:val="62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5"/>
    <w:next w:val="625"/>
    <w:uiPriority w:val="99"/>
    <w:unhideWhenUsed/>
    <w:pPr>
      <w:spacing w:after="0" w:afterAutospacing="0"/>
    </w:pPr>
  </w:style>
  <w:style w:type="paragraph" w:styleId="625" w:default="1">
    <w:name w:val="Normal"/>
    <w:qFormat/>
  </w:style>
  <w:style w:type="character" w:styleId="626" w:default="1">
    <w:name w:val="Default Paragraph Font"/>
    <w:uiPriority w:val="1"/>
    <w:semiHidden/>
    <w:unhideWhenUsed/>
  </w:style>
  <w:style w:type="table" w:styleId="62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8" w:default="1">
    <w:name w:val="No List"/>
    <w:uiPriority w:val="99"/>
    <w:semiHidden/>
    <w:unhideWhenUsed/>
  </w:style>
  <w:style w:type="paragraph" w:styleId="629">
    <w:name w:val="List Paragraph"/>
    <w:basedOn w:val="625"/>
    <w:uiPriority w:val="34"/>
    <w:qFormat/>
    <w:pPr>
      <w:contextualSpacing/>
      <w:ind w:left="720"/>
    </w:pPr>
  </w:style>
  <w:style w:type="character" w:styleId="630">
    <w:name w:val="Hyperlink"/>
    <w:basedOn w:val="626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Р7-Офис/2024.3.2.551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revision>14</cp:revision>
  <dcterms:created xsi:type="dcterms:W3CDTF">2017-10-26T14:18:00Z</dcterms:created>
  <dcterms:modified xsi:type="dcterms:W3CDTF">2025-03-03T11:08:10Z</dcterms:modified>
</cp:coreProperties>
</file>