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 xml:space="preserve">Извещение </w:t>
      </w:r>
    </w:p>
    <w:p>
      <w:pPr>
        <w:pStyle w:val="Normal"/>
        <w:jc w:val="center"/>
        <w:rPr>
          <w:b/>
        </w:rPr>
      </w:pPr>
      <w:r>
        <w:rPr>
          <w:b/>
        </w:rPr>
        <w:t>о закупке у единственного поставщика (исполнителя, подрядчика) № 11</w:t>
      </w:r>
    </w:p>
    <w:p>
      <w:pPr>
        <w:pStyle w:val="Normal"/>
        <w:jc w:val="center"/>
        <w:rPr>
          <w:b/>
          <w:color w:val="FF0000"/>
        </w:rPr>
      </w:pPr>
      <w:r>
        <w:rPr>
          <w:b/>
          <w:color w:val="FF0000"/>
        </w:rPr>
      </w:r>
    </w:p>
    <w:p>
      <w:pPr>
        <w:pStyle w:val="Normal"/>
        <w:jc w:val="center"/>
        <w:rPr>
          <w:rFonts w:eastAsia="Arial"/>
          <w:b/>
        </w:rPr>
      </w:pPr>
      <w:r>
        <w:rPr>
          <w:rFonts w:eastAsia="Arial"/>
          <w:b/>
        </w:rPr>
        <w:t>услуги по обеспечению видеосъемки и видеозаписи проведения государственной итоговой аттестации по образовательным программам среднего общего образования  в форме единого государственного экзамена и государственного выпускного экзамена в пунктах проведения экзаменов и региональном центре обработки информации в 2025 году (досрочный период проведения экзаменов)</w:t>
      </w:r>
    </w:p>
    <w:p>
      <w:pPr>
        <w:pStyle w:val="Normal"/>
        <w:jc w:val="both"/>
        <w:rPr/>
      </w:pPr>
      <w:r>
        <w:rPr/>
        <w:t>Настоящее извещение о проведении закупки у единственного поставщика (далее по тексту – Извещение) составлено в соответствии с требованиями Федерального закона от 18.07.2011 №223-ФЗ «О закупках товаров, работ, услуг отдельными видами юридических лиц» (далее по тексту – Федеральный закон №223-ФЗ) и Положением о закупке товаров, работ, услуг для нужд Государственного автономного образовательного учреждения дополнительного профессионального образования Калужской области «Калужский государственный институт развития образования», утвержденным Наблюдательным советом Государственного автономного образовательного учреждения дополнительного профессионального образования Калужской области «Калужский государственный институт развития образования» (далее  – Положение о закупке), содержит упомянутые в них термины и определения, а также в соответствии с требованиями иного законодательства, регулирующего отношения, связанные с осуществлением закупок.</w:t>
      </w:r>
    </w:p>
    <w:p>
      <w:pPr>
        <w:pStyle w:val="Nonformat"/>
        <w:jc w:val="center"/>
        <w:rPr>
          <w:rFonts w:ascii="Times New Roman" w:hAnsi="Times New Roman" w:cs="Times New Roman"/>
          <w:b/>
          <w:sz w:val="24"/>
          <w:szCs w:val="24"/>
        </w:rPr>
      </w:pPr>
      <w:r>
        <w:rPr>
          <w:rFonts w:cs="Times New Roman" w:ascii="Times New Roman" w:hAnsi="Times New Roman"/>
          <w:b/>
          <w:sz w:val="24"/>
          <w:szCs w:val="24"/>
        </w:rPr>
      </w:r>
    </w:p>
    <w:p>
      <w:pPr>
        <w:pStyle w:val="Nonformat"/>
        <w:jc w:val="center"/>
        <w:rPr>
          <w:rFonts w:ascii="Times New Roman" w:hAnsi="Times New Roman" w:cs="Times New Roman"/>
          <w:b/>
          <w:sz w:val="24"/>
          <w:szCs w:val="24"/>
        </w:rPr>
      </w:pPr>
      <w:r>
        <w:rPr>
          <w:rFonts w:cs="Times New Roman" w:ascii="Times New Roman" w:hAnsi="Times New Roman"/>
          <w:b/>
          <w:sz w:val="24"/>
          <w:szCs w:val="24"/>
        </w:rPr>
        <w:t>Сведения о закупке</w:t>
      </w:r>
    </w:p>
    <w:tbl>
      <w:tblPr>
        <w:tblW w:w="9922" w:type="dxa"/>
        <w:jc w:val="start"/>
        <w:tblInd w:w="392" w:type="dxa"/>
        <w:tblLayout w:type="fixed"/>
        <w:tblCellMar>
          <w:top w:w="0" w:type="dxa"/>
          <w:start w:w="108" w:type="dxa"/>
          <w:bottom w:w="0" w:type="dxa"/>
          <w:end w:w="108" w:type="dxa"/>
        </w:tblCellMar>
      </w:tblPr>
      <w:tblGrid>
        <w:gridCol w:w="5103"/>
        <w:gridCol w:w="4819"/>
      </w:tblGrid>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b/>
                <w:sz w:val="24"/>
                <w:szCs w:val="24"/>
              </w:rPr>
            </w:pPr>
            <w:r>
              <w:rPr>
                <w:rFonts w:cs="Times New Roman" w:ascii="Times New Roman" w:hAnsi="Times New Roman"/>
                <w:color w:val="000000"/>
                <w:sz w:val="24"/>
                <w:szCs w:val="24"/>
              </w:rPr>
              <w:t>способ осуществления закупки</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Закупка у единственного поставщика</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b/>
                <w:sz w:val="24"/>
                <w:szCs w:val="24"/>
              </w:rPr>
            </w:pPr>
            <w:r>
              <w:rPr>
                <w:rFonts w:cs="Times New Roman" w:ascii="Times New Roman" w:hAnsi="Times New Roman"/>
                <w:sz w:val="24"/>
                <w:szCs w:val="24"/>
              </w:rPr>
              <w:t>наименование, местонахождения, почтовые адреса, адреса электронной почты, номера контактных телефонов ответственных (контактных) лиц Заказчика и специализированной организации</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ГАОУ ДПО «КГИРО», 248000, </w:t>
            </w:r>
          </w:p>
          <w:p>
            <w:pPr>
              <w:pStyle w:val="Nonformat"/>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г. Калуга, ул. Гагарина, д.1, </w:t>
            </w:r>
          </w:p>
          <w:p>
            <w:pPr>
              <w:pStyle w:val="Nonformat"/>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54-77-11, 76-25-46</w:t>
            </w:r>
          </w:p>
          <w:p>
            <w:pPr>
              <w:pStyle w:val="Nonformat"/>
              <w:jc w:val="center"/>
              <w:rPr/>
            </w:pPr>
            <w:hyperlink r:id="rId2">
              <w:r>
                <w:rPr>
                  <w:rStyle w:val="Hyperlink"/>
                  <w:rFonts w:cs="Times New Roman" w:ascii="Times New Roman" w:hAnsi="Times New Roman"/>
                  <w:sz w:val="24"/>
                  <w:szCs w:val="24"/>
                  <w:lang w:val="en-US" w:eastAsia="ru-RU"/>
                </w:rPr>
                <w:t>kgimo</w:t>
              </w:r>
              <w:r>
                <w:rPr>
                  <w:rStyle w:val="Hyperlink"/>
                  <w:rFonts w:cs="Times New Roman" w:ascii="Times New Roman" w:hAnsi="Times New Roman"/>
                  <w:sz w:val="24"/>
                  <w:szCs w:val="24"/>
                  <w:lang w:eastAsia="ru-RU"/>
                </w:rPr>
                <w:t>@</w:t>
              </w:r>
              <w:r>
                <w:rPr>
                  <w:rStyle w:val="Hyperlink"/>
                  <w:rFonts w:cs="Times New Roman" w:ascii="Times New Roman" w:hAnsi="Times New Roman"/>
                  <w:sz w:val="24"/>
                  <w:szCs w:val="24"/>
                  <w:lang w:val="en-US" w:eastAsia="ru-RU"/>
                </w:rPr>
                <w:t>mail</w:t>
              </w:r>
              <w:r>
                <w:rPr>
                  <w:rStyle w:val="Hyperlink"/>
                  <w:rFonts w:cs="Times New Roman" w:ascii="Times New Roman" w:hAnsi="Times New Roman"/>
                  <w:sz w:val="24"/>
                  <w:szCs w:val="24"/>
                  <w:lang w:eastAsia="ru-RU"/>
                </w:rPr>
                <w:t>.</w:t>
              </w:r>
              <w:r>
                <w:rPr>
                  <w:rStyle w:val="Hyperlink"/>
                  <w:rFonts w:cs="Times New Roman" w:ascii="Times New Roman" w:hAnsi="Times New Roman"/>
                  <w:sz w:val="24"/>
                  <w:szCs w:val="24"/>
                  <w:lang w:val="en-US" w:eastAsia="ru-RU"/>
                </w:rPr>
                <w:t>ru</w:t>
              </w:r>
            </w:hyperlink>
            <w:r>
              <w:rPr>
                <w:rFonts w:eastAsia="Times New Roman" w:cs="Times New Roman" w:ascii="Times New Roman" w:hAnsi="Times New Roman"/>
                <w:sz w:val="24"/>
                <w:szCs w:val="24"/>
                <w:lang w:eastAsia="ru-RU"/>
              </w:rPr>
              <w:t xml:space="preserve"> </w:t>
            </w:r>
          </w:p>
          <w:p>
            <w:pPr>
              <w:pStyle w:val="Normal"/>
              <w:jc w:val="center"/>
              <w:rPr>
                <w:lang w:eastAsia="ru-RU"/>
              </w:rPr>
            </w:pPr>
            <w:r>
              <w:rPr>
                <w:lang w:eastAsia="ru-RU"/>
              </w:rPr>
              <w:t>Шувалова Елена Владимировна</w:t>
            </w:r>
          </w:p>
          <w:p>
            <w:pPr>
              <w:pStyle w:val="Nonformat"/>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Силаев Сергей Валерьевич</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b/>
                <w:sz w:val="24"/>
                <w:szCs w:val="24"/>
              </w:rPr>
            </w:pPr>
            <w:r>
              <w:rPr>
                <w:rFonts w:cs="Times New Roman" w:ascii="Times New Roman" w:hAnsi="Times New Roman"/>
                <w:color w:val="000000"/>
                <w:sz w:val="24"/>
                <w:szCs w:val="24"/>
              </w:rPr>
              <w:t>предмет договора с указанием количества поставляемого товара, объема выполняемой работы, оказываемой услуги</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Услуги по обеспечению видеосъемки и видеозаписи проведения государственной итоговой аттестации по образовательным программам среднего общего образования  в форме единого государственного экзамена и государственного выпускного экзамена в пунктах проведения экзаменов и региональном центре обработки информации в 2025 году (досрочный период проведения экзаменов)</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134" w:leader="none"/>
              </w:tabs>
              <w:rPr>
                <w:lang w:eastAsia="ru-RU"/>
              </w:rPr>
            </w:pPr>
            <w:r>
              <w:rPr>
                <w:lang w:eastAsia="ru-RU"/>
              </w:rPr>
              <w:t>ОКПД 2</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eastAsia="Times New Roman" w:cs="Times New Roman" w:ascii="Times New Roman" w:hAnsi="Times New Roman"/>
                <w:sz w:val="24"/>
                <w:szCs w:val="24"/>
                <w:lang w:eastAsia="ru-RU"/>
              </w:rPr>
              <w:t>63.11.11.000</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1134" w:leader="none"/>
              </w:tabs>
              <w:rPr>
                <w:lang w:eastAsia="ru-RU"/>
              </w:rPr>
            </w:pPr>
            <w:r>
              <w:rPr>
                <w:lang w:eastAsia="ru-RU"/>
              </w:rPr>
              <w:t>ОКВЭД 2</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eastAsia="Times New Roman" w:cs="Times New Roman" w:ascii="Times New Roman" w:hAnsi="Times New Roman"/>
                <w:bCs/>
                <w:sz w:val="24"/>
                <w:szCs w:val="24"/>
                <w:lang w:eastAsia="ru-RU"/>
              </w:rPr>
              <w:t>85.23</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sz w:val="24"/>
                <w:szCs w:val="24"/>
              </w:rPr>
            </w:pPr>
            <w:r>
              <w:rPr>
                <w:rFonts w:cs="Times New Roman" w:ascii="Times New Roman" w:hAnsi="Times New Roman"/>
                <w:color w:val="000000"/>
                <w:sz w:val="24"/>
                <w:szCs w:val="24"/>
              </w:rPr>
              <w:t>место, условия и сроки (периоды) поставки товара, выполнения работ, оказания услуг</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Согласно Проекта Договора</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sz w:val="24"/>
                <w:szCs w:val="24"/>
              </w:rPr>
            </w:pPr>
            <w:r>
              <w:rPr>
                <w:rFonts w:cs="Times New Roman" w:ascii="Times New Roman" w:hAnsi="Times New Roman"/>
                <w:color w:val="000000"/>
                <w:sz w:val="24"/>
                <w:szCs w:val="24"/>
              </w:rPr>
              <w:t>начальная (максимальная) цена договора (лота)</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262 281,40</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color w:val="000000"/>
                <w:sz w:val="24"/>
                <w:szCs w:val="24"/>
              </w:rPr>
            </w:pPr>
            <w:r>
              <w:rPr>
                <w:rFonts w:cs="Times New Roman" w:ascii="Times New Roman" w:hAnsi="Times New Roman"/>
                <w:sz w:val="24"/>
                <w:szCs w:val="24"/>
              </w:rPr>
              <w:t>размер и порядок внесения и возврата денежных средств в качестве обеспечения заявок на участие в закупке</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не требуется</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sz w:val="24"/>
                <w:szCs w:val="24"/>
              </w:rPr>
            </w:pPr>
            <w:r>
              <w:rPr>
                <w:rFonts w:cs="Times New Roman" w:ascii="Times New Roman" w:hAnsi="Times New Roman"/>
                <w:color w:val="000000"/>
                <w:sz w:val="24"/>
                <w:szCs w:val="24"/>
              </w:rPr>
              <w:t>размер обеспечения исполнения договора, порядок предоставления и возврата такого обеспечения, требования к такому обеспечению в случае, если Заказчиком установлено требование об обеспечении исполнения договора</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не требуется</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sz w:val="24"/>
                <w:szCs w:val="24"/>
              </w:rPr>
            </w:pPr>
            <w:r>
              <w:rPr>
                <w:rFonts w:cs="Times New Roman" w:ascii="Times New Roman" w:hAnsi="Times New Roman"/>
                <w:sz w:val="24"/>
                <w:szCs w:val="24"/>
              </w:rPr>
              <w:t>1)</w:t>
              <w:tab/>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Если Заказчиком в документации о закупке не используются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в документации о закупке должно содержаться обоснование необходимости использования иных требований, связанных с определением соответствия поставляемого товара, выполняемой работы, оказываемой услуги потребностям Заказчика</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Согласно Проекта Договора</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b/>
                <w:sz w:val="24"/>
                <w:szCs w:val="24"/>
              </w:rPr>
            </w:pPr>
            <w:r>
              <w:rPr>
                <w:rFonts w:cs="Times New Roman" w:ascii="Times New Roman" w:hAnsi="Times New Roman"/>
                <w:sz w:val="24"/>
                <w:szCs w:val="24"/>
              </w:rPr>
              <w:t>требования к сроку и (или) объему предоставления гарантий качества товара, работ, услуг, к обслуживанию товара, к расходам на эксплуатацию товара</w:t>
            </w:r>
            <w:r>
              <w:rPr>
                <w:rFonts w:cs="Times New Roman" w:ascii="Times New Roman" w:hAnsi="Times New Roman"/>
                <w:color w:val="000000"/>
                <w:sz w:val="24"/>
                <w:szCs w:val="24"/>
              </w:rPr>
              <w:t xml:space="preserve"> (при необходимости)</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color w:val="FF0000"/>
                <w:sz w:val="24"/>
                <w:szCs w:val="24"/>
              </w:rPr>
            </w:pPr>
            <w:r>
              <w:rPr>
                <w:rFonts w:cs="Times New Roman" w:ascii="Times New Roman" w:hAnsi="Times New Roman"/>
                <w:sz w:val="24"/>
                <w:szCs w:val="24"/>
              </w:rPr>
              <w:t>Согласно Проекта Договора</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sz w:val="24"/>
                <w:szCs w:val="24"/>
              </w:rPr>
            </w:pPr>
            <w:r>
              <w:rPr>
                <w:rFonts w:cs="Times New Roman" w:ascii="Times New Roman" w:hAnsi="Times New Roman"/>
                <w:sz w:val="24"/>
                <w:szCs w:val="24"/>
              </w:rPr>
              <w:t>обоснование начальной (максимальной) цены договора</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Указано в настоящем извещении</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pPr>
            <w:r>
              <w:rPr>
                <w:rFonts w:cs="Times New Roman" w:ascii="Times New Roman" w:hAnsi="Times New Roman"/>
                <w:sz w:val="24"/>
                <w:szCs w:val="24"/>
              </w:rPr>
              <w:t>форма, сроки и порядок оплаты товара, работ, услуг</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Согласно Проекта Договора</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sz w:val="24"/>
                <w:szCs w:val="24"/>
              </w:rPr>
            </w:pPr>
            <w:r>
              <w:rPr>
                <w:rFonts w:cs="Times New Roman" w:ascii="Times New Roman" w:hAnsi="Times New Roman"/>
                <w:sz w:val="24"/>
                <w:szCs w:val="24"/>
              </w:rPr>
              <w:t>порядок формирования цены договора (цены лота) (с учетом или без учета расходов на перевозку, страхование, уплату таможенных пошлин, налогов и других обязательных платежей)</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с учетом расходов на перевозку, страхование, уплату таможенных пошлин, налогов и других обязательных платежей</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sz w:val="24"/>
                <w:szCs w:val="24"/>
              </w:rPr>
            </w:pPr>
            <w:r>
              <w:rPr>
                <w:rFonts w:cs="Times New Roman" w:ascii="Times New Roman" w:hAnsi="Times New Roman"/>
                <w:sz w:val="24"/>
                <w:szCs w:val="24"/>
              </w:rPr>
              <w:t>сведения о валюте, используемой для формирования цены договора и расчетов с поставщиками (подрядчиками, исполнителями), а также порядок применения официального курса иностранной валюты к рублю Российской Федерации, установленного Центральным банком Российской Федерации, используемого при оплате заключенного договора</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Российский рубль</w:t>
            </w:r>
          </w:p>
          <w:p>
            <w:pPr>
              <w:pStyle w:val="Nonformat"/>
              <w:jc w:val="center"/>
              <w:rPr>
                <w:rFonts w:ascii="Times New Roman" w:hAnsi="Times New Roman" w:cs="Times New Roman"/>
                <w:sz w:val="24"/>
                <w:szCs w:val="24"/>
              </w:rPr>
            </w:pPr>
            <w:r>
              <w:rPr>
                <w:rFonts w:cs="Times New Roman" w:ascii="Times New Roman" w:hAnsi="Times New Roman"/>
                <w:sz w:val="24"/>
                <w:szCs w:val="24"/>
              </w:rPr>
              <w:t>Порядок применения официального курса иностранной валюты к рублю Российской Федерации, установленного Центральным банком Российской Федерации, используемого при оплате заключенного договора: не применяется в связи с тем, что валюта, используемой для формирования цены договора и расчетов с поставщиками (подрядчиками, исполнителями) – Российский рубль.</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sz w:val="24"/>
                <w:szCs w:val="24"/>
              </w:rPr>
            </w:pPr>
            <w:r>
              <w:rPr>
                <w:rFonts w:cs="Times New Roman" w:ascii="Times New Roman" w:hAnsi="Times New Roman"/>
                <w:sz w:val="24"/>
                <w:szCs w:val="24"/>
              </w:rPr>
              <w:t>сведения о начальной (максимальной) цене единицы каждого товара, работы, услуги, являющихся предметом закупки</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262 281,40 руб.</w:t>
            </w:r>
            <w:r>
              <w:rPr>
                <w:rFonts w:cs="Times New Roman" w:ascii="Times New Roman" w:hAnsi="Times New Roman"/>
                <w:sz w:val="24"/>
                <w:szCs w:val="24"/>
                <w:vertAlign w:val="superscript"/>
              </w:rPr>
              <w:t xml:space="preserve"> </w:t>
            </w:r>
            <w:r>
              <w:rPr>
                <w:rFonts w:cs="Times New Roman" w:ascii="Times New Roman" w:hAnsi="Times New Roman"/>
                <w:sz w:val="24"/>
                <w:szCs w:val="24"/>
              </w:rPr>
              <w:t>(включая НДС)</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sz w:val="24"/>
                <w:szCs w:val="24"/>
              </w:rPr>
            </w:pPr>
            <w:r>
              <w:rPr>
                <w:rFonts w:cs="Times New Roman" w:ascii="Times New Roman" w:hAnsi="Times New Roman"/>
                <w:sz w:val="24"/>
                <w:szCs w:val="24"/>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пунктом 1 части 2 статьи 3.1-4 Закона № 223-ФЗ в отношении товара, работы, услуги, являющихся предметом закупки</w:t>
            </w:r>
          </w:p>
        </w:tc>
        <w:tc>
          <w:tcPr>
            <w:tcW w:w="4819" w:type="dxa"/>
            <w:tcBorders>
              <w:top w:val="single" w:sz="4" w:space="0" w:color="000000"/>
              <w:start w:val="single" w:sz="4" w:space="0" w:color="000000"/>
              <w:bottom w:val="single" w:sz="4" w:space="0" w:color="000000"/>
              <w:end w:val="single" w:sz="4" w:space="0" w:color="000000"/>
            </w:tcBorders>
          </w:tcPr>
          <w:p>
            <w:pPr>
              <w:pStyle w:val="Nonformat"/>
              <w:jc w:val="center"/>
              <w:rPr>
                <w:rFonts w:ascii="Times New Roman" w:hAnsi="Times New Roman" w:cs="Times New Roman"/>
                <w:sz w:val="24"/>
                <w:szCs w:val="24"/>
              </w:rPr>
            </w:pPr>
            <w:r>
              <w:rPr>
                <w:rFonts w:cs="Times New Roman" w:ascii="Times New Roman" w:hAnsi="Times New Roman"/>
                <w:sz w:val="24"/>
                <w:szCs w:val="24"/>
              </w:rPr>
              <w:t>Не установлено</w:t>
            </w:r>
          </w:p>
        </w:tc>
      </w:tr>
    </w:tbl>
    <w:p>
      <w:pPr>
        <w:pStyle w:val="Normal"/>
        <w:autoSpaceDE w:val="false"/>
        <w:jc w:val="center"/>
        <w:rPr>
          <w:b/>
          <w:bCs/>
          <w:lang w:eastAsia="ru-RU"/>
        </w:rPr>
      </w:pPr>
      <w:r>
        <w:rPr>
          <w:b/>
          <w:bCs/>
          <w:lang w:eastAsia="ru-RU"/>
        </w:rPr>
      </w:r>
    </w:p>
    <w:p>
      <w:pPr>
        <w:pStyle w:val="Normal"/>
        <w:autoSpaceDE w:val="false"/>
        <w:jc w:val="center"/>
        <w:rPr>
          <w:b/>
          <w:bCs/>
          <w:lang w:eastAsia="ru-RU"/>
        </w:rPr>
      </w:pPr>
      <w:r>
        <w:rPr>
          <w:b/>
          <w:bCs/>
          <w:lang w:eastAsia="ru-RU"/>
        </w:rPr>
      </w:r>
    </w:p>
    <w:p>
      <w:pPr>
        <w:pStyle w:val="Normal"/>
        <w:numPr>
          <w:ilvl w:val="0"/>
          <w:numId w:val="3"/>
        </w:numPr>
        <w:jc w:val="center"/>
        <w:rPr>
          <w:rFonts w:eastAsia="Calibri"/>
          <w:b/>
          <w:lang w:eastAsia="en-US"/>
        </w:rPr>
      </w:pPr>
      <w:r>
        <w:rPr>
          <w:rFonts w:eastAsia="Calibri"/>
          <w:b/>
          <w:lang w:eastAsia="en-US"/>
        </w:rPr>
        <w:t>Обоснование начальной (максимальной) цены контракта (договора)</w:t>
      </w:r>
    </w:p>
    <w:p>
      <w:pPr>
        <w:pStyle w:val="Normal"/>
        <w:numPr>
          <w:ilvl w:val="0"/>
          <w:numId w:val="2"/>
        </w:numPr>
        <w:jc w:val="center"/>
        <w:rPr>
          <w:rFonts w:eastAsia="Calibri"/>
          <w:b/>
          <w:lang w:eastAsia="en-US"/>
        </w:rPr>
      </w:pPr>
      <w:r>
        <w:rPr>
          <w:rFonts w:eastAsia="Calibri"/>
          <w:b/>
          <w:lang w:eastAsia="en-US"/>
        </w:rPr>
      </w:r>
    </w:p>
    <w:tbl>
      <w:tblPr>
        <w:tblW w:w="10348" w:type="dxa"/>
        <w:jc w:val="start"/>
        <w:tblInd w:w="28" w:type="dxa"/>
        <w:tblLayout w:type="fixed"/>
        <w:tblCellMar>
          <w:top w:w="0" w:type="dxa"/>
          <w:start w:w="28" w:type="dxa"/>
          <w:bottom w:w="0" w:type="dxa"/>
          <w:end w:w="28" w:type="dxa"/>
        </w:tblCellMar>
      </w:tblPr>
      <w:tblGrid>
        <w:gridCol w:w="2835"/>
        <w:gridCol w:w="7513"/>
      </w:tblGrid>
      <w:tr>
        <w:trPr/>
        <w:tc>
          <w:tcPr>
            <w:tcW w:w="2835" w:type="dxa"/>
            <w:tcBorders>
              <w:top w:val="single" w:sz="4" w:space="0" w:color="000000"/>
              <w:start w:val="single" w:sz="4" w:space="0" w:color="000000"/>
              <w:bottom w:val="single" w:sz="4" w:space="0" w:color="000000"/>
              <w:end w:val="single" w:sz="4" w:space="0" w:color="000000"/>
            </w:tcBorders>
          </w:tcPr>
          <w:p>
            <w:pPr>
              <w:pStyle w:val="Normal"/>
              <w:ind w:start="57" w:end="57"/>
              <w:jc w:val="both"/>
              <w:rPr>
                <w:b/>
                <w:bCs/>
              </w:rPr>
            </w:pPr>
            <w:r>
              <w:rPr>
                <w:b/>
                <w:bCs/>
              </w:rPr>
              <w:t>Основные характеристики объекта закупки</w:t>
            </w:r>
          </w:p>
        </w:tc>
        <w:tc>
          <w:tcPr>
            <w:tcW w:w="7513" w:type="dxa"/>
            <w:tcBorders>
              <w:top w:val="single" w:sz="4" w:space="0" w:color="000000"/>
              <w:start w:val="single" w:sz="4" w:space="0" w:color="000000"/>
              <w:bottom w:val="single" w:sz="4" w:space="0" w:color="000000"/>
              <w:end w:val="single" w:sz="4" w:space="0" w:color="000000"/>
            </w:tcBorders>
          </w:tcPr>
          <w:p>
            <w:pPr>
              <w:pStyle w:val="Nonformat"/>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Обеспечение видеосъемки и видеозаписи проведения государственной итоговой аттестации по образовательным программам среднего общего образования  в форме единого государственного экзамена и государственного выпускного экзамена в пунктах проведения экзаменов и региональном центре обработки информации в 2025 году (досрочный период проведения экзаменов)</w:t>
            </w:r>
          </w:p>
          <w:p>
            <w:pPr>
              <w:pStyle w:val="Nonformat"/>
              <w:rPr>
                <w:rFonts w:ascii="Times New Roman" w:hAnsi="Times New Roman" w:cs="Times New Roman"/>
                <w:sz w:val="24"/>
                <w:szCs w:val="24"/>
              </w:rPr>
            </w:pPr>
            <w:r>
              <w:rPr>
                <w:rFonts w:cs="Times New Roman" w:ascii="Times New Roman" w:hAnsi="Times New Roman"/>
                <w:sz w:val="24"/>
                <w:szCs w:val="24"/>
              </w:rPr>
            </w:r>
          </w:p>
          <w:p>
            <w:pPr>
              <w:pStyle w:val="Nonformat"/>
              <w:rPr/>
            </w:pPr>
            <w:r>
              <w:rPr>
                <w:rFonts w:cs="Times New Roman" w:ascii="Times New Roman" w:hAnsi="Times New Roman"/>
                <w:b/>
                <w:sz w:val="24"/>
                <w:szCs w:val="24"/>
                <w:lang w:eastAsia="en-US"/>
              </w:rPr>
              <w:t xml:space="preserve">Срок, место и объём выполнения работ: </w:t>
            </w:r>
            <w:r>
              <w:rPr>
                <w:rFonts w:cs="Times New Roman" w:ascii="Times New Roman" w:hAnsi="Times New Roman"/>
                <w:sz w:val="24"/>
                <w:szCs w:val="24"/>
                <w:lang w:eastAsia="en-US"/>
              </w:rPr>
              <w:t>согласно проекта договора</w:t>
            </w:r>
          </w:p>
          <w:p>
            <w:pPr>
              <w:pStyle w:val="Normal"/>
              <w:widowControl w:val="false"/>
              <w:suppressAutoHyphens w:val="true"/>
              <w:rPr/>
            </w:pPr>
            <w:r>
              <w:rPr>
                <w:b/>
              </w:rPr>
              <w:t xml:space="preserve">Кол-во: </w:t>
            </w:r>
            <w:r>
              <w:rPr/>
              <w:t>10 аудиторий</w:t>
            </w:r>
          </w:p>
          <w:p>
            <w:pPr>
              <w:pStyle w:val="Normal"/>
              <w:ind w:start="57" w:end="0"/>
              <w:jc w:val="both"/>
              <w:rPr>
                <w:b/>
                <w:color w:val="FF0000"/>
                <w:lang w:eastAsia="en-US"/>
              </w:rPr>
            </w:pPr>
            <w:r>
              <w:rPr>
                <w:b/>
                <w:color w:val="FF0000"/>
                <w:lang w:eastAsia="en-US"/>
              </w:rPr>
            </w:r>
          </w:p>
        </w:tc>
      </w:tr>
      <w:tr>
        <w:trPr/>
        <w:tc>
          <w:tcPr>
            <w:tcW w:w="2835" w:type="dxa"/>
            <w:tcBorders>
              <w:top w:val="single" w:sz="4" w:space="0" w:color="000000"/>
              <w:start w:val="single" w:sz="4" w:space="0" w:color="000000"/>
              <w:bottom w:val="single" w:sz="4" w:space="0" w:color="000000"/>
              <w:end w:val="single" w:sz="4" w:space="0" w:color="000000"/>
            </w:tcBorders>
          </w:tcPr>
          <w:p>
            <w:pPr>
              <w:pStyle w:val="Normal"/>
              <w:ind w:start="57" w:end="57"/>
              <w:jc w:val="both"/>
              <w:rPr>
                <w:b/>
                <w:bCs/>
              </w:rPr>
            </w:pPr>
            <w:r>
              <w:rPr>
                <w:b/>
                <w:bCs/>
              </w:rPr>
              <w:t xml:space="preserve">Используемый метод определения НМЦК </w:t>
              <w:br/>
              <w:t>с обоснованием:</w:t>
            </w:r>
          </w:p>
        </w:tc>
        <w:tc>
          <w:tcPr>
            <w:tcW w:w="7513" w:type="dxa"/>
            <w:tcBorders>
              <w:top w:val="single" w:sz="4" w:space="0" w:color="000000"/>
              <w:start w:val="single" w:sz="4" w:space="0" w:color="000000"/>
              <w:bottom w:val="single" w:sz="4" w:space="0" w:color="000000"/>
              <w:end w:val="single" w:sz="4" w:space="0" w:color="000000"/>
            </w:tcBorders>
          </w:tcPr>
          <w:p>
            <w:pPr>
              <w:pStyle w:val="Normal"/>
              <w:numPr>
                <w:ilvl w:val="0"/>
                <w:numId w:val="2"/>
              </w:numPr>
              <w:rPr/>
            </w:pPr>
            <w:r>
              <w:rPr/>
              <w:t>Начальная (максимальная) цена контракта (договора) на обеспечение видеосъемки и видеозаписи проведения государственной итоговой аттестации по образовательным программам среднего общего образования  в форме единого государственного экзамена и государственного выпускного экзамена в пунктах проведения экзаменов и региональном центре обработки информации в 2025 году (досрочный период проведения экзаменов) определена  методом сопоставления  рыночных цен (анализ рынка) в соответствии с п.9.2. ст.9 Положения о закупках ГАОУ ДПО «КГИРО» (в соответствии с минимальным поступившим предложением о цене контракта (договора))</w:t>
            </w:r>
          </w:p>
        </w:tc>
      </w:tr>
      <w:tr>
        <w:trPr>
          <w:trHeight w:val="1043" w:hRule="atLeast"/>
        </w:trPr>
        <w:tc>
          <w:tcPr>
            <w:tcW w:w="2835" w:type="dxa"/>
            <w:tcBorders>
              <w:top w:val="single" w:sz="4" w:space="0" w:color="000000"/>
              <w:start w:val="single" w:sz="4" w:space="0" w:color="000000"/>
              <w:bottom w:val="single" w:sz="4" w:space="0" w:color="000000"/>
              <w:end w:val="single" w:sz="4" w:space="0" w:color="000000"/>
            </w:tcBorders>
          </w:tcPr>
          <w:p>
            <w:pPr>
              <w:pStyle w:val="Normal"/>
              <w:ind w:start="57" w:end="57"/>
              <w:jc w:val="both"/>
              <w:rPr>
                <w:b/>
                <w:bCs/>
              </w:rPr>
            </w:pPr>
            <w:r>
              <w:rPr>
                <w:b/>
                <w:bCs/>
              </w:rPr>
              <w:t xml:space="preserve">Расчет НМЦК </w:t>
            </w:r>
          </w:p>
        </w:tc>
        <w:tc>
          <w:tcPr>
            <w:tcW w:w="7513" w:type="dxa"/>
            <w:tcBorders>
              <w:top w:val="single" w:sz="4" w:space="0" w:color="000000"/>
              <w:start w:val="single" w:sz="4" w:space="0" w:color="000000"/>
              <w:bottom w:val="single" w:sz="4" w:space="0" w:color="000000"/>
              <w:end w:val="single" w:sz="4" w:space="0" w:color="000000"/>
            </w:tcBorders>
          </w:tcPr>
          <w:p>
            <w:pPr>
              <w:pStyle w:val="Style20"/>
              <w:spacing w:before="280" w:after="280"/>
              <w:ind w:start="30" w:end="30"/>
              <w:jc w:val="both"/>
              <w:textAlignment w:val="baseline"/>
              <w:rPr/>
            </w:pPr>
            <w:r>
              <w:rPr/>
              <w:t>Закупка у единственного поставщика</w:t>
            </w:r>
          </w:p>
        </w:tc>
      </w:tr>
      <w:tr>
        <w:trPr/>
        <w:tc>
          <w:tcPr>
            <w:tcW w:w="2835" w:type="dxa"/>
            <w:tcBorders>
              <w:top w:val="single" w:sz="4" w:space="0" w:color="000000"/>
              <w:start w:val="single" w:sz="4" w:space="0" w:color="000000"/>
              <w:bottom w:val="single" w:sz="4" w:space="0" w:color="000000"/>
              <w:end w:val="single" w:sz="4" w:space="0" w:color="000000"/>
            </w:tcBorders>
          </w:tcPr>
          <w:p>
            <w:pPr>
              <w:pStyle w:val="Normal"/>
              <w:ind w:start="57" w:end="57"/>
              <w:jc w:val="both"/>
              <w:rPr>
                <w:b/>
                <w:bCs/>
              </w:rPr>
            </w:pPr>
            <w:r>
              <w:rPr>
                <w:b/>
                <w:bCs/>
              </w:rPr>
              <w:t>Способ определения поставщика (подрядчика, исполнителя)</w:t>
            </w:r>
          </w:p>
        </w:tc>
        <w:tc>
          <w:tcPr>
            <w:tcW w:w="7513" w:type="dxa"/>
            <w:tcBorders>
              <w:top w:val="single" w:sz="4" w:space="0" w:color="000000"/>
              <w:start w:val="single" w:sz="4" w:space="0" w:color="000000"/>
              <w:bottom w:val="single" w:sz="4" w:space="0" w:color="000000"/>
              <w:end w:val="single" w:sz="4" w:space="0" w:color="000000"/>
            </w:tcBorders>
          </w:tcPr>
          <w:p>
            <w:pPr>
              <w:pStyle w:val="EndnoteText"/>
              <w:jc w:val="both"/>
              <w:rPr>
                <w:sz w:val="24"/>
                <w:szCs w:val="24"/>
              </w:rPr>
            </w:pPr>
            <w:r>
              <w:rPr>
                <w:sz w:val="24"/>
                <w:szCs w:val="24"/>
              </w:rPr>
              <w:t>Закупка у единственного поставщика</w:t>
            </w:r>
          </w:p>
        </w:tc>
      </w:tr>
      <w:tr>
        <w:trPr>
          <w:cantSplit w:val="true"/>
        </w:trPr>
        <w:tc>
          <w:tcPr>
            <w:tcW w:w="10348" w:type="dxa"/>
            <w:gridSpan w:val="2"/>
            <w:tcBorders>
              <w:top w:val="single" w:sz="4" w:space="0" w:color="000000"/>
              <w:start w:val="single" w:sz="4" w:space="0" w:color="000000"/>
              <w:bottom w:val="single" w:sz="4" w:space="0" w:color="000000"/>
              <w:end w:val="single" w:sz="4" w:space="0" w:color="000000"/>
            </w:tcBorders>
          </w:tcPr>
          <w:p>
            <w:pPr>
              <w:pStyle w:val="Normal"/>
              <w:ind w:end="57"/>
              <w:rPr>
                <w:b/>
                <w:bCs/>
              </w:rPr>
            </w:pPr>
            <w:r>
              <w:rPr>
                <w:b/>
                <w:bCs/>
              </w:rPr>
              <w:t>Дата подготовки обоснования НМЦК:  28.02.2025</w:t>
            </w:r>
          </w:p>
          <w:p>
            <w:pPr>
              <w:pStyle w:val="Normal"/>
              <w:ind w:end="57"/>
              <w:rPr>
                <w:b/>
                <w:bCs/>
              </w:rPr>
            </w:pPr>
            <w:r>
              <w:rPr>
                <w:b/>
                <w:bCs/>
              </w:rPr>
            </w:r>
          </w:p>
        </w:tc>
      </w:tr>
    </w:tbl>
    <w:p>
      <w:pPr>
        <w:pStyle w:val="Normal"/>
        <w:autoSpaceDE w:val="false"/>
        <w:spacing w:before="120" w:after="0"/>
        <w:ind w:start="567" w:end="0"/>
        <w:jc w:val="center"/>
        <w:rPr>
          <w:b/>
          <w:bCs/>
          <w:lang w:eastAsia="ru-RU"/>
        </w:rPr>
      </w:pPr>
      <w:r>
        <w:rPr>
          <w:b/>
          <w:bCs/>
          <w:lang w:eastAsia="ru-RU"/>
        </w:rPr>
        <w:t>Расчет НМЦК</w:t>
      </w:r>
    </w:p>
    <w:tbl>
      <w:tblPr>
        <w:tblpPr w:vertAnchor="text" w:horzAnchor="margin" w:leftFromText="180" w:rightFromText="180" w:tblpX="172" w:tblpY="61"/>
        <w:tblW w:w="10003" w:type="dxa"/>
        <w:jc w:val="start"/>
        <w:tblInd w:w="108" w:type="dxa"/>
        <w:tblLayout w:type="fixed"/>
        <w:tblCellMar>
          <w:top w:w="0" w:type="dxa"/>
          <w:start w:w="108" w:type="dxa"/>
          <w:bottom w:w="0" w:type="dxa"/>
          <w:end w:w="108" w:type="dxa"/>
        </w:tblCellMar>
      </w:tblPr>
      <w:tblGrid>
        <w:gridCol w:w="557"/>
        <w:gridCol w:w="1911"/>
        <w:gridCol w:w="4585"/>
        <w:gridCol w:w="1388"/>
        <w:gridCol w:w="1562"/>
      </w:tblGrid>
      <w:tr>
        <w:trPr>
          <w:trHeight w:val="1125" w:hRule="atLeast"/>
        </w:trPr>
        <w:tc>
          <w:tcPr>
            <w:tcW w:w="557" w:type="dxa"/>
            <w:tcBorders>
              <w:top w:val="single" w:sz="4" w:space="0" w:color="000000"/>
              <w:start w:val="single" w:sz="4" w:space="0" w:color="000000"/>
              <w:bottom w:val="single" w:sz="4" w:space="0" w:color="000000"/>
              <w:end w:val="single" w:sz="4" w:space="0" w:color="000000"/>
            </w:tcBorders>
            <w:vAlign w:val="center"/>
          </w:tcPr>
          <w:p>
            <w:pPr>
              <w:pStyle w:val="Normal"/>
              <w:rPr>
                <w:lang w:eastAsia="ru-RU"/>
              </w:rPr>
            </w:pPr>
            <w:r>
              <w:rPr>
                <w:lang w:eastAsia="ru-RU"/>
              </w:rPr>
              <w:t xml:space="preserve">№ </w:t>
            </w:r>
            <w:r>
              <w:rPr>
                <w:lang w:eastAsia="ru-RU"/>
              </w:rPr>
              <w:t>п/п</w:t>
            </w:r>
          </w:p>
        </w:tc>
        <w:tc>
          <w:tcPr>
            <w:tcW w:w="19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lang w:eastAsia="ru-RU"/>
              </w:rPr>
            </w:pPr>
            <w:r>
              <w:rPr>
                <w:lang w:eastAsia="ru-RU"/>
              </w:rPr>
              <w:t>Наименование поставщика</w:t>
            </w:r>
            <w:r>
              <w:rPr>
                <w:bCs/>
                <w:lang w:eastAsia="ru-RU"/>
              </w:rPr>
              <w:t xml:space="preserve"> (подрядчика, исполнителя)</w:t>
            </w:r>
          </w:p>
        </w:tc>
        <w:tc>
          <w:tcPr>
            <w:tcW w:w="45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lang w:eastAsia="ru-RU"/>
              </w:rPr>
            </w:pPr>
            <w:r>
              <w:rPr>
                <w:lang w:eastAsia="ru-RU"/>
              </w:rPr>
              <w:t>Источник  информации о цене (коммерческое предложение (№ дата), интернет ресурс (адрес сайта), и т.д.</w:t>
            </w:r>
          </w:p>
        </w:tc>
        <w:tc>
          <w:tcPr>
            <w:tcW w:w="1388" w:type="dxa"/>
            <w:tcBorders>
              <w:top w:val="single" w:sz="4" w:space="0" w:color="000000"/>
              <w:start w:val="single" w:sz="4" w:space="0" w:color="000000"/>
              <w:bottom w:val="single" w:sz="4" w:space="0" w:color="000000"/>
              <w:end w:val="single" w:sz="4" w:space="0" w:color="000000"/>
            </w:tcBorders>
          </w:tcPr>
          <w:p>
            <w:pPr>
              <w:pStyle w:val="Normal"/>
              <w:jc w:val="center"/>
              <w:rPr>
                <w:lang w:eastAsia="ru-RU"/>
              </w:rPr>
            </w:pPr>
            <w:r>
              <w:rPr>
                <w:lang w:eastAsia="ru-RU"/>
              </w:rPr>
              <w:t>Цена, руб.</w:t>
            </w:r>
          </w:p>
        </w:tc>
        <w:tc>
          <w:tcPr>
            <w:tcW w:w="1562" w:type="dxa"/>
            <w:tcBorders>
              <w:top w:val="single" w:sz="4" w:space="0" w:color="000000"/>
              <w:start w:val="single" w:sz="4" w:space="0" w:color="000000"/>
              <w:bottom w:val="single" w:sz="4" w:space="0" w:color="000000"/>
              <w:end w:val="single" w:sz="4" w:space="0" w:color="000000"/>
            </w:tcBorders>
          </w:tcPr>
          <w:p>
            <w:pPr>
              <w:pStyle w:val="Normal"/>
              <w:ind w:end="-109"/>
              <w:jc w:val="center"/>
              <w:rPr>
                <w:lang w:eastAsia="ru-RU"/>
              </w:rPr>
            </w:pPr>
            <w:r>
              <w:rPr>
                <w:lang w:eastAsia="ru-RU"/>
              </w:rPr>
              <w:t>Минимальное ценовое предложение</w:t>
            </w:r>
          </w:p>
        </w:tc>
      </w:tr>
      <w:tr>
        <w:trPr>
          <w:trHeight w:val="279" w:hRule="atLeast"/>
        </w:trPr>
        <w:tc>
          <w:tcPr>
            <w:tcW w:w="557" w:type="dxa"/>
            <w:tcBorders>
              <w:top w:val="single" w:sz="4" w:space="0" w:color="000000"/>
              <w:start w:val="single" w:sz="4" w:space="0" w:color="000000"/>
              <w:bottom w:val="single" w:sz="4" w:space="0" w:color="000000"/>
              <w:end w:val="single" w:sz="4" w:space="0" w:color="000000"/>
            </w:tcBorders>
          </w:tcPr>
          <w:p>
            <w:pPr>
              <w:pStyle w:val="Normal"/>
              <w:rPr>
                <w:sz w:val="22"/>
                <w:szCs w:val="22"/>
                <w:lang w:eastAsia="ru-RU"/>
              </w:rPr>
            </w:pPr>
            <w:r>
              <w:rPr>
                <w:sz w:val="22"/>
                <w:szCs w:val="22"/>
                <w:lang w:eastAsia="ru-RU"/>
              </w:rPr>
              <w:t>1</w:t>
            </w:r>
          </w:p>
        </w:tc>
        <w:tc>
          <w:tcPr>
            <w:tcW w:w="1911" w:type="dxa"/>
            <w:tcBorders>
              <w:top w:val="single" w:sz="4" w:space="0" w:color="000000"/>
              <w:start w:val="single" w:sz="4" w:space="0" w:color="000000"/>
              <w:bottom w:val="single" w:sz="4" w:space="0" w:color="000000"/>
              <w:end w:val="single" w:sz="4" w:space="0" w:color="000000"/>
            </w:tcBorders>
          </w:tcPr>
          <w:p>
            <w:pPr>
              <w:pStyle w:val="Normal"/>
              <w:autoSpaceDE w:val="false"/>
              <w:rPr>
                <w:sz w:val="22"/>
                <w:szCs w:val="22"/>
                <w:lang w:eastAsia="ru-RU"/>
              </w:rPr>
            </w:pPr>
            <w:r>
              <w:rPr>
                <w:sz w:val="22"/>
                <w:szCs w:val="22"/>
                <w:lang w:eastAsia="ru-RU"/>
              </w:rPr>
              <w:t xml:space="preserve">Поставщик № 1 </w:t>
            </w:r>
          </w:p>
        </w:tc>
        <w:tc>
          <w:tcPr>
            <w:tcW w:w="4585" w:type="dxa"/>
            <w:tcBorders>
              <w:top w:val="single" w:sz="4" w:space="0" w:color="000000"/>
              <w:start w:val="single" w:sz="4" w:space="0" w:color="000000"/>
              <w:bottom w:val="single" w:sz="4" w:space="0" w:color="000000"/>
              <w:end w:val="single" w:sz="4" w:space="0" w:color="000000"/>
            </w:tcBorders>
          </w:tcPr>
          <w:p>
            <w:pPr>
              <w:pStyle w:val="Normal"/>
              <w:rPr>
                <w:sz w:val="22"/>
                <w:szCs w:val="22"/>
                <w:lang w:eastAsia="ru-RU"/>
              </w:rPr>
            </w:pPr>
            <w:r>
              <w:rPr>
                <w:sz w:val="22"/>
                <w:szCs w:val="22"/>
                <w:lang w:eastAsia="ru-RU"/>
              </w:rPr>
              <w:t>Коммерческое предложение от 15.02.2025 №0306/05/392/25-2</w:t>
            </w:r>
          </w:p>
        </w:tc>
        <w:tc>
          <w:tcPr>
            <w:tcW w:w="1388" w:type="dxa"/>
            <w:tcBorders>
              <w:top w:val="single" w:sz="4" w:space="0" w:color="000000"/>
              <w:start w:val="single" w:sz="4" w:space="0" w:color="000000"/>
              <w:bottom w:val="single" w:sz="4" w:space="0" w:color="000000"/>
              <w:end w:val="single" w:sz="4" w:space="0" w:color="000000"/>
            </w:tcBorders>
          </w:tcPr>
          <w:p>
            <w:pPr>
              <w:pStyle w:val="Normal"/>
              <w:rPr>
                <w:sz w:val="22"/>
                <w:szCs w:val="22"/>
                <w:lang w:eastAsia="ru-RU"/>
              </w:rPr>
            </w:pPr>
            <w:r>
              <w:rPr>
                <w:sz w:val="22"/>
                <w:szCs w:val="22"/>
                <w:lang w:eastAsia="ru-RU"/>
              </w:rPr>
              <w:t>262 281,40</w:t>
            </w:r>
          </w:p>
        </w:tc>
        <w:tc>
          <w:tcPr>
            <w:tcW w:w="156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2"/>
                <w:szCs w:val="22"/>
                <w:lang w:eastAsia="ru-RU"/>
              </w:rPr>
            </w:pPr>
            <w:r>
              <w:rPr>
                <w:sz w:val="22"/>
                <w:szCs w:val="22"/>
                <w:lang w:eastAsia="ru-RU"/>
              </w:rPr>
              <w:t>262 281,40</w:t>
            </w:r>
          </w:p>
        </w:tc>
      </w:tr>
      <w:tr>
        <w:trPr>
          <w:trHeight w:val="274" w:hRule="atLeast"/>
        </w:trPr>
        <w:tc>
          <w:tcPr>
            <w:tcW w:w="557" w:type="dxa"/>
            <w:tcBorders>
              <w:top w:val="single" w:sz="4" w:space="0" w:color="000000"/>
              <w:start w:val="single" w:sz="4" w:space="0" w:color="000000"/>
              <w:bottom w:val="single" w:sz="4" w:space="0" w:color="000000"/>
              <w:end w:val="single" w:sz="4" w:space="0" w:color="000000"/>
            </w:tcBorders>
          </w:tcPr>
          <w:p>
            <w:pPr>
              <w:pStyle w:val="Normal"/>
              <w:rPr>
                <w:sz w:val="22"/>
                <w:szCs w:val="22"/>
                <w:lang w:eastAsia="ru-RU"/>
              </w:rPr>
            </w:pPr>
            <w:r>
              <w:rPr>
                <w:sz w:val="22"/>
                <w:szCs w:val="22"/>
                <w:lang w:eastAsia="ru-RU"/>
              </w:rPr>
              <w:t>2</w:t>
            </w:r>
          </w:p>
        </w:tc>
        <w:tc>
          <w:tcPr>
            <w:tcW w:w="1911" w:type="dxa"/>
            <w:tcBorders>
              <w:top w:val="single" w:sz="4" w:space="0" w:color="000000"/>
              <w:start w:val="single" w:sz="4" w:space="0" w:color="000000"/>
              <w:bottom w:val="single" w:sz="4" w:space="0" w:color="000000"/>
              <w:end w:val="single" w:sz="4" w:space="0" w:color="000000"/>
            </w:tcBorders>
          </w:tcPr>
          <w:p>
            <w:pPr>
              <w:pStyle w:val="Normal"/>
              <w:autoSpaceDE w:val="false"/>
              <w:rPr>
                <w:sz w:val="22"/>
                <w:szCs w:val="22"/>
                <w:lang w:eastAsia="ru-RU"/>
              </w:rPr>
            </w:pPr>
            <w:r>
              <w:rPr>
                <w:sz w:val="22"/>
                <w:szCs w:val="22"/>
                <w:lang w:eastAsia="ru-RU"/>
              </w:rPr>
              <w:t xml:space="preserve">Поставщик № 2 </w:t>
            </w:r>
          </w:p>
        </w:tc>
        <w:tc>
          <w:tcPr>
            <w:tcW w:w="4585" w:type="dxa"/>
            <w:tcBorders>
              <w:top w:val="single" w:sz="4" w:space="0" w:color="000000"/>
              <w:start w:val="single" w:sz="4" w:space="0" w:color="000000"/>
              <w:bottom w:val="single" w:sz="4" w:space="0" w:color="000000"/>
              <w:end w:val="single" w:sz="4" w:space="0" w:color="000000"/>
            </w:tcBorders>
          </w:tcPr>
          <w:p>
            <w:pPr>
              <w:pStyle w:val="Normal"/>
              <w:rPr>
                <w:sz w:val="22"/>
                <w:szCs w:val="22"/>
                <w:lang w:eastAsia="ru-RU"/>
              </w:rPr>
            </w:pPr>
            <w:r>
              <w:rPr>
                <w:sz w:val="22"/>
                <w:szCs w:val="22"/>
                <w:lang w:eastAsia="ru-RU"/>
              </w:rPr>
              <w:t>Коммерческое предложение от 25.02.2025 №25</w:t>
            </w:r>
          </w:p>
        </w:tc>
        <w:tc>
          <w:tcPr>
            <w:tcW w:w="1388" w:type="dxa"/>
            <w:tcBorders>
              <w:top w:val="single" w:sz="4" w:space="0" w:color="000000"/>
              <w:start w:val="single" w:sz="4" w:space="0" w:color="000000"/>
              <w:bottom w:val="single" w:sz="4" w:space="0" w:color="000000"/>
              <w:end w:val="single" w:sz="4" w:space="0" w:color="000000"/>
            </w:tcBorders>
          </w:tcPr>
          <w:p>
            <w:pPr>
              <w:pStyle w:val="Normal"/>
              <w:rPr>
                <w:sz w:val="22"/>
                <w:szCs w:val="22"/>
                <w:lang w:eastAsia="ru-RU"/>
              </w:rPr>
            </w:pPr>
            <w:r>
              <w:rPr>
                <w:sz w:val="22"/>
                <w:szCs w:val="22"/>
                <w:lang w:eastAsia="ru-RU"/>
              </w:rPr>
              <w:t>275 395,47</w:t>
            </w:r>
          </w:p>
        </w:tc>
        <w:tc>
          <w:tcPr>
            <w:tcW w:w="15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sz w:val="22"/>
                <w:szCs w:val="22"/>
                <w:lang w:eastAsia="ru-RU"/>
              </w:rPr>
            </w:pPr>
            <w:r>
              <w:rPr>
                <w:sz w:val="22"/>
                <w:szCs w:val="22"/>
                <w:lang w:eastAsia="ru-RU"/>
              </w:rPr>
            </w:r>
          </w:p>
        </w:tc>
      </w:tr>
      <w:tr>
        <w:trPr>
          <w:trHeight w:val="274" w:hRule="atLeast"/>
        </w:trPr>
        <w:tc>
          <w:tcPr>
            <w:tcW w:w="557" w:type="dxa"/>
            <w:tcBorders>
              <w:top w:val="single" w:sz="4" w:space="0" w:color="000000"/>
              <w:start w:val="single" w:sz="4" w:space="0" w:color="000000"/>
              <w:bottom w:val="single" w:sz="4" w:space="0" w:color="000000"/>
              <w:end w:val="single" w:sz="4" w:space="0" w:color="000000"/>
            </w:tcBorders>
          </w:tcPr>
          <w:p>
            <w:pPr>
              <w:pStyle w:val="Normal"/>
              <w:rPr>
                <w:sz w:val="22"/>
                <w:szCs w:val="22"/>
                <w:lang w:eastAsia="ru-RU"/>
              </w:rPr>
            </w:pPr>
            <w:r>
              <w:rPr>
                <w:sz w:val="22"/>
                <w:szCs w:val="22"/>
                <w:lang w:eastAsia="ru-RU"/>
              </w:rPr>
              <w:t>3</w:t>
            </w:r>
          </w:p>
        </w:tc>
        <w:tc>
          <w:tcPr>
            <w:tcW w:w="1911" w:type="dxa"/>
            <w:tcBorders>
              <w:top w:val="single" w:sz="4" w:space="0" w:color="000000"/>
              <w:start w:val="single" w:sz="4" w:space="0" w:color="000000"/>
              <w:bottom w:val="single" w:sz="4" w:space="0" w:color="000000"/>
              <w:end w:val="single" w:sz="4" w:space="0" w:color="000000"/>
            </w:tcBorders>
          </w:tcPr>
          <w:p>
            <w:pPr>
              <w:pStyle w:val="Normal"/>
              <w:autoSpaceDE w:val="false"/>
              <w:rPr>
                <w:sz w:val="22"/>
                <w:szCs w:val="22"/>
                <w:lang w:eastAsia="ru-RU"/>
              </w:rPr>
            </w:pPr>
            <w:r>
              <w:rPr>
                <w:sz w:val="22"/>
                <w:szCs w:val="22"/>
                <w:lang w:eastAsia="ru-RU"/>
              </w:rPr>
              <w:t>Поставщик № 3</w:t>
            </w:r>
          </w:p>
        </w:tc>
        <w:tc>
          <w:tcPr>
            <w:tcW w:w="4585" w:type="dxa"/>
            <w:tcBorders>
              <w:top w:val="single" w:sz="4" w:space="0" w:color="000000"/>
              <w:start w:val="single" w:sz="4" w:space="0" w:color="000000"/>
              <w:bottom w:val="single" w:sz="4" w:space="0" w:color="000000"/>
              <w:end w:val="single" w:sz="4" w:space="0" w:color="000000"/>
            </w:tcBorders>
          </w:tcPr>
          <w:p>
            <w:pPr>
              <w:pStyle w:val="Normal"/>
              <w:rPr>
                <w:sz w:val="22"/>
                <w:szCs w:val="22"/>
                <w:lang w:eastAsia="ru-RU"/>
              </w:rPr>
            </w:pPr>
            <w:r>
              <w:rPr>
                <w:sz w:val="22"/>
                <w:szCs w:val="22"/>
                <w:lang w:eastAsia="ru-RU"/>
              </w:rPr>
              <w:t>Коммерческое предложение от 26.02.2025 №б/н</w:t>
            </w:r>
          </w:p>
        </w:tc>
        <w:tc>
          <w:tcPr>
            <w:tcW w:w="1388" w:type="dxa"/>
            <w:tcBorders>
              <w:top w:val="single" w:sz="4" w:space="0" w:color="000000"/>
              <w:start w:val="single" w:sz="4" w:space="0" w:color="000000"/>
              <w:bottom w:val="single" w:sz="4" w:space="0" w:color="000000"/>
              <w:end w:val="single" w:sz="4" w:space="0" w:color="000000"/>
            </w:tcBorders>
          </w:tcPr>
          <w:p>
            <w:pPr>
              <w:pStyle w:val="Normal"/>
              <w:rPr>
                <w:sz w:val="22"/>
                <w:szCs w:val="22"/>
                <w:lang w:eastAsia="ru-RU"/>
              </w:rPr>
            </w:pPr>
            <w:r>
              <w:rPr>
                <w:sz w:val="22"/>
                <w:szCs w:val="22"/>
                <w:lang w:eastAsia="ru-RU"/>
              </w:rPr>
              <w:t>280 641,10</w:t>
            </w:r>
          </w:p>
        </w:tc>
        <w:tc>
          <w:tcPr>
            <w:tcW w:w="15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sz w:val="22"/>
                <w:szCs w:val="22"/>
                <w:lang w:eastAsia="ru-RU"/>
              </w:rPr>
            </w:pPr>
            <w:r>
              <w:rPr>
                <w:sz w:val="22"/>
                <w:szCs w:val="22"/>
                <w:lang w:eastAsia="ru-RU"/>
              </w:rPr>
            </w:r>
          </w:p>
        </w:tc>
      </w:tr>
      <w:tr>
        <w:trPr>
          <w:trHeight w:val="477" w:hRule="atLeast"/>
        </w:trPr>
        <w:tc>
          <w:tcPr>
            <w:tcW w:w="7053"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sz w:val="22"/>
                <w:szCs w:val="22"/>
                <w:lang w:eastAsia="ru-RU"/>
              </w:rPr>
            </w:pPr>
            <w:r>
              <w:rPr>
                <w:b/>
                <w:sz w:val="22"/>
                <w:szCs w:val="22"/>
                <w:lang w:eastAsia="ru-RU"/>
              </w:rPr>
              <w:t>Начальная (максимальная) цена контракта (договора), руб.</w:t>
            </w:r>
          </w:p>
        </w:tc>
        <w:tc>
          <w:tcPr>
            <w:tcW w:w="2950" w:type="dxa"/>
            <w:gridSpan w:val="2"/>
            <w:tcBorders>
              <w:top w:val="single" w:sz="4" w:space="0" w:color="000000"/>
              <w:start w:val="single" w:sz="4" w:space="0" w:color="000000"/>
              <w:bottom w:val="single" w:sz="4" w:space="0" w:color="000000"/>
              <w:end w:val="single" w:sz="4" w:space="0" w:color="000000"/>
            </w:tcBorders>
          </w:tcPr>
          <w:p>
            <w:pPr>
              <w:pStyle w:val="Normal"/>
              <w:rPr>
                <w:b/>
                <w:sz w:val="22"/>
                <w:szCs w:val="22"/>
                <w:lang w:eastAsia="ru-RU"/>
              </w:rPr>
            </w:pPr>
            <w:r>
              <w:rPr>
                <w:b/>
                <w:sz w:val="22"/>
                <w:szCs w:val="22"/>
                <w:lang w:eastAsia="ru-RU"/>
              </w:rPr>
              <w:t>262 281,40</w:t>
            </w:r>
          </w:p>
        </w:tc>
      </w:tr>
    </w:tbl>
    <w:p>
      <w:pPr>
        <w:pStyle w:val="Normal"/>
        <w:rPr/>
      </w:pPr>
      <w:r>
        <w:rPr/>
      </w:r>
    </w:p>
    <w:p>
      <w:pPr>
        <w:pStyle w:val="Normal"/>
        <w:jc w:val="center"/>
        <w:rPr>
          <w:b/>
          <w:bCs/>
        </w:rPr>
      </w:pPr>
      <w:r>
        <w:rPr>
          <w:b/>
          <w:bCs/>
        </w:rPr>
      </w:r>
    </w:p>
    <w:sectPr>
      <w:type w:val="nextPage"/>
      <w:pgSz w:w="11906" w:h="16838"/>
      <w:pgMar w:left="851" w:right="851" w:gutter="0" w:header="0" w:top="568" w:footer="0" w:bottom="113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ahoma">
    <w:charset w:val="cc" w:characterSet="windows-1251"/>
    <w:family w:val="swiss"/>
    <w:pitch w:val="variable"/>
  </w:font>
  <w:font w:name="Liberation Sans">
    <w:altName w:val="Arial"/>
    <w:charset w:val="01" w:characterSet="utf-8"/>
    <w:family w:val="swiss"/>
    <w:pitch w:val="variable"/>
  </w:font>
  <w:font w:name="Consultant">
    <w:altName w:val="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BodyText"/>
    <w:qFormat/>
    <w:pPr>
      <w:numPr>
        <w:ilvl w:val="0"/>
        <w:numId w:val="1"/>
      </w:numPr>
      <w:spacing w:before="280" w:after="280"/>
      <w:outlineLvl w:val="0"/>
    </w:pPr>
    <w:rPr>
      <w:b/>
      <w:bCs/>
      <w:kern w:val="2"/>
      <w:sz w:val="48"/>
      <w:szCs w:val="48"/>
    </w:rPr>
  </w:style>
  <w:style w:type="character" w:styleId="WW8Num2z0">
    <w:name w:val="WW8Num2z0"/>
    <w:qFormat/>
    <w:rPr>
      <w:b w:val="false"/>
      <w:sz w:val="24"/>
    </w:rPr>
  </w:style>
  <w:style w:type="character" w:styleId="Style13">
    <w:name w:val="Основной шрифт абзаца"/>
    <w:qFormat/>
    <w:rPr/>
  </w:style>
  <w:style w:type="character" w:styleId="1">
    <w:name w:val="Заголовок 1 Знак"/>
    <w:qFormat/>
    <w:rPr>
      <w:rFonts w:ascii="Times New Roman" w:hAnsi="Times New Roman" w:eastAsia="Times New Roman" w:cs="Times New Roman"/>
      <w:b/>
      <w:bCs/>
      <w:kern w:val="2"/>
      <w:sz w:val="48"/>
      <w:szCs w:val="48"/>
    </w:rPr>
  </w:style>
  <w:style w:type="character" w:styleId="Hyperlink">
    <w:name w:val="Hyperlink"/>
    <w:rPr>
      <w:color w:val="0000FF"/>
      <w:u w:val="single"/>
    </w:rPr>
  </w:style>
  <w:style w:type="character" w:styleId="Style14">
    <w:name w:val="Замещающий текст"/>
    <w:qFormat/>
    <w:rPr>
      <w:color w:val="808080"/>
    </w:rPr>
  </w:style>
  <w:style w:type="character" w:styleId="Style15">
    <w:name w:val="Текст выноски Знак"/>
    <w:qFormat/>
    <w:rPr>
      <w:rFonts w:ascii="Tahoma" w:hAnsi="Tahoma" w:eastAsia="Times New Roman" w:cs="Tahoma"/>
      <w:sz w:val="16"/>
      <w:szCs w:val="16"/>
    </w:rPr>
  </w:style>
  <w:style w:type="character" w:styleId="Style16">
    <w:name w:val="Текст концевой сноски Знак"/>
    <w:qFormat/>
    <w:rPr>
      <w:rFonts w:ascii="Times New Roman" w:hAnsi="Times New Roman" w:eastAsia="Times New Roman" w:cs="Times New Roman"/>
    </w:rPr>
  </w:style>
  <w:style w:type="character" w:styleId="Style17">
    <w:name w:val="Нижний колонтитул Знак"/>
    <w:qFormat/>
    <w:rPr>
      <w:rFonts w:ascii="Times New Roman" w:hAnsi="Times New Roman" w:eastAsia="Times New Roman" w:cs="Times New Roman"/>
      <w:sz w:val="24"/>
      <w:lang w:val="en-US"/>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8">
    <w:name w:val="Абзац списка"/>
    <w:basedOn w:val="Normal"/>
    <w:qFormat/>
    <w:pPr>
      <w:ind w:hanging="0" w:start="708" w:end="0"/>
    </w:pPr>
    <w:rPr/>
  </w:style>
  <w:style w:type="paragraph" w:styleId="Style19">
    <w:name w:val="Текст выноски"/>
    <w:basedOn w:val="Normal"/>
    <w:qFormat/>
    <w:pPr/>
    <w:rPr>
      <w:rFonts w:ascii="Tahoma" w:hAnsi="Tahoma" w:cs="Tahoma"/>
      <w:sz w:val="16"/>
      <w:szCs w:val="16"/>
    </w:rPr>
  </w:style>
  <w:style w:type="paragraph" w:styleId="EndnoteText">
    <w:name w:val="endnote text"/>
    <w:basedOn w:val="Normal"/>
    <w:pPr/>
    <w:rPr>
      <w:sz w:val="20"/>
      <w:szCs w:val="20"/>
    </w:rPr>
  </w:style>
  <w:style w:type="paragraph" w:styleId="Style20">
    <w:name w:val="Обычный (веб)"/>
    <w:basedOn w:val="Normal"/>
    <w:qFormat/>
    <w:pPr>
      <w:spacing w:before="280" w:after="280"/>
    </w:pPr>
    <w:rPr/>
  </w:style>
  <w:style w:type="paragraph" w:styleId="Nonformat">
    <w:name w:val="Nonformat"/>
    <w:basedOn w:val="Normal"/>
    <w:qFormat/>
    <w:pPr>
      <w:widowControl w:val="false"/>
      <w:suppressAutoHyphens w:val="true"/>
    </w:pPr>
    <w:rPr>
      <w:rFonts w:ascii="Consultant;Courier New" w:hAnsi="Consultant;Courier New" w:eastAsia="Arial" w:cs="Consultant;Courier New"/>
      <w:sz w:val="20"/>
      <w:szCs w:val="2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jc w:val="both"/>
    </w:pPr>
    <w:rPr>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gimo@mail.ru"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547</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2018-10-31T14:11:00Z</dcterms:created>
  <dc:creator>Ильнарочка</dc:creator>
  <dc:description/>
  <cp:keywords/>
  <dc:language>en-US</dc:language>
  <cp:lastModifiedBy>1</cp:lastModifiedBy>
  <cp:lastPrinted>2017-03-10T13:02:00Z</cp:lastPrinted>
  <dcterms:modified xsi:type="dcterms:W3CDTF">2025-03-03T11:50:00Z</dcterms:modified>
  <cp:revision>37</cp:revision>
  <dc:subject/>
  <dc:title/>
</cp:coreProperties>
</file>