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ПРОТОКОЛ № 2196</w:t>
      </w:r>
    </w:p>
    <w:p>
      <w:pPr>
        <w:pStyle w:val="Normal"/>
        <w:keepNext w:val="true"/>
        <w:jc w:val="center"/>
        <w:rPr/>
      </w:pPr>
      <w:r>
        <w:rPr>
          <w:sz w:val="24"/>
          <w:szCs w:val="24"/>
        </w:rPr>
        <w:t>заседания Комиссии по осуществлению закупок Акционерного общества «Ленинградская областная тепло-энергетическая компания»</w:t>
      </w:r>
    </w:p>
    <w:p>
      <w:pPr>
        <w:pStyle w:val="Normal"/>
        <w:keepNext w:val="true"/>
        <w:jc w:val="center"/>
        <w:rPr>
          <w:sz w:val="24"/>
          <w:szCs w:val="24"/>
        </w:rPr>
      </w:pPr>
      <w:r>
        <w:rPr>
          <w:sz w:val="24"/>
          <w:szCs w:val="24"/>
        </w:rPr>
        <w:t>по рассмотрению и оценке заявок на участие в открытом запросе условий договора</w:t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8100" w:leader="none"/>
        </w:tabs>
        <w:rPr/>
      </w:pPr>
      <w:r>
        <w:rPr>
          <w:b w:val="false"/>
          <w:sz w:val="24"/>
          <w:szCs w:val="24"/>
        </w:rPr>
        <w:t>г. Санкт-Петербург</w:t>
        <w:tab/>
        <w:t>28 февраля 2025 года</w:t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ind w:firstLine="708" w:end="0"/>
        <w:jc w:val="both"/>
        <w:rPr>
          <w:b w:val="false"/>
          <w:color w:val="000000"/>
          <w:sz w:val="24"/>
          <w:szCs w:val="24"/>
        </w:rPr>
      </w:pPr>
      <w:r>
        <w:rPr>
          <w:b w:val="false"/>
          <w:sz w:val="24"/>
          <w:szCs w:val="24"/>
        </w:rPr>
        <w:t xml:space="preserve">На </w:t>
      </w:r>
      <w:r>
        <w:rPr>
          <w:b w:val="false"/>
          <w:color w:val="000000"/>
          <w:sz w:val="24"/>
          <w:szCs w:val="24"/>
        </w:rPr>
        <w:t xml:space="preserve">заседании Комиссии по </w:t>
      </w:r>
      <w:r>
        <w:rPr>
          <w:b w:val="false"/>
          <w:sz w:val="24"/>
          <w:szCs w:val="24"/>
        </w:rPr>
        <w:t>осуществлению закупок</w:t>
      </w:r>
      <w:r>
        <w:rPr>
          <w:b w:val="false"/>
          <w:color w:val="000000"/>
          <w:sz w:val="24"/>
          <w:szCs w:val="24"/>
        </w:rPr>
        <w:t xml:space="preserve"> АО «ЛОТЭК» (далее – Комиссия) присутствуют:</w:t>
      </w:r>
    </w:p>
    <w:p>
      <w:pPr>
        <w:pStyle w:val="Normal"/>
        <w:spacing w:lineRule="auto" w:line="360"/>
        <w:jc w:val="center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Конфиденциальная информация – Федеральный закон от 27.07.2006 г.</w:t>
      </w:r>
    </w:p>
    <w:p>
      <w:pPr>
        <w:pStyle w:val="Normal"/>
        <w:spacing w:lineRule="auto" w:line="360"/>
        <w:jc w:val="center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 № </w:t>
      </w:r>
      <w:r>
        <w:rPr>
          <w:b w:val="false"/>
          <w:sz w:val="24"/>
          <w:szCs w:val="24"/>
        </w:rPr>
        <w:t>152-ФЗ «О персональных данных»</w:t>
      </w:r>
    </w:p>
    <w:p>
      <w:pPr>
        <w:pStyle w:val="Normal"/>
        <w:spacing w:lineRule="auto" w:line="360"/>
        <w:ind w:firstLine="708" w:end="0"/>
        <w:jc w:val="both"/>
        <w:rPr>
          <w:b w:val="false"/>
          <w:color w:val="000000"/>
          <w:sz w:val="24"/>
          <w:szCs w:val="24"/>
        </w:rPr>
      </w:pPr>
      <w:r>
        <w:rPr>
          <w:b w:val="false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color w:val="000000"/>
          <w:sz w:val="24"/>
          <w:szCs w:val="24"/>
        </w:rPr>
      </w:pPr>
      <w:r>
        <w:rPr>
          <w:b w:val="false"/>
          <w:color w:val="000000"/>
          <w:sz w:val="24"/>
          <w:szCs w:val="24"/>
        </w:rPr>
        <w:t xml:space="preserve">Кворум для проведения заседания имеется. </w:t>
      </w:r>
    </w:p>
    <w:p>
      <w:pPr>
        <w:pStyle w:val="Normal"/>
        <w:spacing w:lineRule="auto" w:line="360"/>
        <w:ind w:firstLine="708" w:end="0"/>
        <w:jc w:val="both"/>
        <w:rPr>
          <w:sz w:val="24"/>
          <w:szCs w:val="24"/>
        </w:rPr>
      </w:pPr>
      <w:r>
        <w:rPr>
          <w:sz w:val="24"/>
          <w:szCs w:val="24"/>
        </w:rPr>
        <w:t>Повестка дня:</w:t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- рассмотрение поданных заявок и принятие решения о допуске до оценочной стадии;</w:t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- проведение оценки поданных заявок и определение победителя.</w:t>
      </w:r>
    </w:p>
    <w:p>
      <w:pPr>
        <w:pStyle w:val="Normal"/>
        <w:spacing w:lineRule="auto" w:line="360"/>
        <w:ind w:firstLine="425" w:start="284" w:end="0"/>
        <w:jc w:val="both"/>
        <w:rPr/>
      </w:pPr>
      <w:r>
        <w:rPr>
          <w:b w:val="false"/>
          <w:sz w:val="24"/>
          <w:szCs w:val="24"/>
        </w:rPr>
        <w:t>Процедура рассмотрения и оценки заявок на участие в открытом запросе условий договора проведена 28 февраля 2025 года в 12 часов 00 минут по московскому времени по адресу: 192171, г. Санкт-Петербург, ул. Седова, д. 57.</w:t>
      </w:r>
    </w:p>
    <w:p>
      <w:pPr>
        <w:pStyle w:val="Style13"/>
        <w:tabs>
          <w:tab w:val="clear" w:pos="708"/>
          <w:tab w:val="left" w:pos="284" w:leader="none"/>
        </w:tabs>
        <w:spacing w:lineRule="auto" w:line="360" w:before="0" w:after="0"/>
        <w:ind w:firstLine="425" w:start="284" w:end="0"/>
        <w:jc w:val="both"/>
        <w:rPr>
          <w:rFonts w:ascii="Times New Roman;Times New Roman" w:hAnsi="Times New Roman;Times New Roman" w:cs="Times New Roman;Times New Roman"/>
          <w:sz w:val="24"/>
          <w:szCs w:val="24"/>
        </w:rPr>
      </w:pPr>
      <w:r>
        <w:rPr>
          <w:rFonts w:cs="Times New Roman;Times New Roman" w:ascii="Times New Roman;Times New Roman" w:hAnsi="Times New Roman;Times New Roman"/>
          <w:sz w:val="24"/>
          <w:szCs w:val="24"/>
        </w:rPr>
        <w:t>Все заявки, представленные для участия в открытом запросе условий договора согласно Извещению № 2072/З/02-25 от 20 февраля 2025 года (предмет закупки - Оказание услуг по лабораторным исследованиям холодной и горячей воды из котельных и разводящей сети населенных пунктов Кировского района Ленинградской области: г. Отрадное, г. Шлиссельбург, п. Назия, выполняемые в рамках производственного контроля в объеме 12 единиц; начальная (максимальная) цена закупки – 2 112 000 (Два миллиона сто двенадцать тысяч) рублей 00 копеек; место выполнения работ: Ленинградская область, Кировский район, по месту нахождения котельных Заказчика; сроки оплаты работ – в течение 7 (семи) рабочих дней с даты подписания Заказчиком Акта об оказании услуг; сроки выполнения работ: ежемесячно с даты подписания договора по 28.02.2026 года. Срок выполнения анализов и оформления протоколов - не более 10 дней с момента отбора проб), были зарегистрированы в Журнале регистрации заявок для участия в закупке, проводимой Акционерным обществом «Ленинградская областная тепло-энергетическая компания» в порядке их поступления.</w:t>
      </w:r>
    </w:p>
    <w:p>
      <w:pPr>
        <w:pStyle w:val="Style13"/>
        <w:tabs>
          <w:tab w:val="clear" w:pos="708"/>
          <w:tab w:val="left" w:pos="284" w:leader="none"/>
        </w:tabs>
        <w:spacing w:lineRule="auto" w:line="360" w:before="0" w:after="0"/>
        <w:ind w:firstLine="425" w:start="284" w:end="0"/>
        <w:jc w:val="both"/>
        <w:rPr>
          <w:rFonts w:ascii="Times New Roman;Times New Roman" w:hAnsi="Times New Roman;Times New Roman" w:cs="Times New Roman;Times New Roman"/>
          <w:sz w:val="24"/>
          <w:szCs w:val="24"/>
        </w:rPr>
      </w:pPr>
      <w:r>
        <w:rPr>
          <w:rFonts w:cs="Times New Roman;Times New Roman" w:ascii="Times New Roman;Times New Roman" w:hAnsi="Times New Roman;Times New Roman"/>
          <w:sz w:val="24"/>
          <w:szCs w:val="24"/>
        </w:rPr>
      </w:r>
    </w:p>
    <w:p>
      <w:pPr>
        <w:pStyle w:val="Normal"/>
        <w:spacing w:lineRule="auto" w:line="360"/>
        <w:ind w:hanging="143" w:start="851" w:end="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К сроку окончания подачи заявок на участие в открытом запросе условий договора – 28.02.2025г. 10:00 были предоставлены (поданы) 2 (две) заявки:</w:t>
      </w:r>
    </w:p>
    <w:tbl>
      <w:tblPr>
        <w:tblW w:w="1045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7"/>
        <w:gridCol w:w="1588"/>
        <w:gridCol w:w="2409"/>
        <w:gridCol w:w="1985"/>
        <w:gridCol w:w="3827"/>
      </w:tblGrid>
      <w:tr>
        <w:trPr/>
        <w:tc>
          <w:tcPr>
            <w:tcW w:w="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 xml:space="preserve">№ </w:t>
            </w:r>
            <w:r>
              <w:rPr>
                <w:b w:val="false"/>
                <w:sz w:val="24"/>
                <w:szCs w:val="24"/>
              </w:rPr>
              <w:t>п/п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Регистрационный номер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Дата и время (московское) регистрации заявки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Предложение участника о цене, рублей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Срок выполнения анализов и оформления протоколов (дней с момента отбора проб</w:t>
            </w:r>
            <w:r>
              <w:rPr>
                <w:b w:val="false"/>
                <w:color w:val="000000"/>
                <w:sz w:val="24"/>
                <w:szCs w:val="24"/>
              </w:rPr>
              <w:t>)</w:t>
            </w:r>
          </w:p>
        </w:tc>
      </w:tr>
      <w:tr>
        <w:trPr>
          <w:trHeight w:val="445" w:hRule="atLeast"/>
        </w:trPr>
        <w:tc>
          <w:tcPr>
            <w:tcW w:w="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01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24.02.2025  11:30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1 670 112,00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7</w:t>
            </w:r>
          </w:p>
        </w:tc>
      </w:tr>
      <w:tr>
        <w:trPr>
          <w:trHeight w:val="423" w:hRule="atLeast"/>
        </w:trPr>
        <w:tc>
          <w:tcPr>
            <w:tcW w:w="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2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02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27.02.2025   11:00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2 082 720,00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10</w:t>
            </w:r>
          </w:p>
        </w:tc>
      </w:tr>
    </w:tbl>
    <w:p>
      <w:pPr>
        <w:pStyle w:val="Normal"/>
        <w:ind w:firstLine="567" w:end="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ind w:firstLine="567" w:end="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Комиссия проверила участников, рассмотрела и проверила заявки в соответствии с требованиями и условиями, установленными в документации о проведении открытого запроса условий договора к составу, содержанию и оформлению заявок, и приняла следующее решение: заявки №01 и №02 соответствуют требованиям и условиям, установленными в документации о проведении открытого запроса условий договора.</w:t>
      </w:r>
    </w:p>
    <w:p>
      <w:pPr>
        <w:pStyle w:val="Normal"/>
        <w:spacing w:lineRule="auto" w:line="360"/>
        <w:ind w:firstLine="709" w:end="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Количество отклоненных заявок: 0 штук.</w:t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sz w:val="24"/>
          <w:szCs w:val="24"/>
        </w:rPr>
        <w:t>Оценка заявок на участие в открытом запросе условий договора:</w:t>
      </w:r>
    </w:p>
    <w:p>
      <w:pPr>
        <w:pStyle w:val="Normal"/>
        <w:ind w:firstLine="708" w:end="0"/>
        <w:jc w:val="both"/>
        <w:rPr/>
      </w:pPr>
      <w:r>
        <w:rPr>
          <w:b w:val="false"/>
          <w:sz w:val="24"/>
          <w:szCs w:val="24"/>
        </w:rPr>
        <w:t>Согласно пункту 24.1. Извещения № 2072/З/02-25 от 20 февраля 2025 года</w:t>
      </w:r>
      <w:r>
        <w:rPr>
          <w:sz w:val="24"/>
          <w:szCs w:val="24"/>
        </w:rPr>
        <w:t xml:space="preserve"> </w:t>
      </w:r>
      <w:r>
        <w:rPr>
          <w:b w:val="false"/>
          <w:color w:val="000000"/>
          <w:sz w:val="24"/>
          <w:szCs w:val="24"/>
        </w:rPr>
        <w:t>к</w:t>
      </w:r>
      <w:r>
        <w:rPr>
          <w:b w:val="false"/>
          <w:sz w:val="24"/>
          <w:szCs w:val="24"/>
        </w:rPr>
        <w:t>ритериями оценки заявок на участие в открытом запросе условий договора являются:</w:t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1) цена предложения (значимость ценового критерия=80%);</w:t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2) срок выполнения анализов и оформления протоколов (значимость ценового критерия=20%).</w:t>
      </w:r>
    </w:p>
    <w:p>
      <w:pPr>
        <w:pStyle w:val="Normal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ind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Стоимостной критерий оценки:</w:t>
      </w:r>
    </w:p>
    <w:p>
      <w:pPr>
        <w:pStyle w:val="Normal"/>
        <w:tabs>
          <w:tab w:val="clear" w:pos="708"/>
          <w:tab w:val="left" w:pos="720" w:leader="none"/>
        </w:tabs>
        <w:jc w:val="both"/>
        <w:rPr/>
      </w:pPr>
      <w:r>
        <w:rPr>
          <w:rFonts w:eastAsia="Calibri;Century Gothic"/>
          <w:b w:val="false"/>
          <w:sz w:val="24"/>
          <w:szCs w:val="24"/>
        </w:rPr>
        <w:t xml:space="preserve">    </w:t>
      </w:r>
      <w:r>
        <w:rPr>
          <w:rFonts w:eastAsia="Calibri;Century Gothic"/>
          <w:b w:val="false"/>
          <w:sz w:val="24"/>
          <w:szCs w:val="24"/>
        </w:rPr>
        <w:t>По критерию «цена предложения» рейтинг, присуждаемый заявке, определяется по формуле:</w:t>
      </w:r>
    </w:p>
    <w:p>
      <w:pPr>
        <w:pStyle w:val="Normal"/>
        <w:tabs>
          <w:tab w:val="clear" w:pos="708"/>
          <w:tab w:val="left" w:pos="720" w:leader="none"/>
        </w:tabs>
        <w:jc w:val="both"/>
        <w:rPr/>
      </w:pPr>
      <w:r>
        <w:rPr>
          <w:rFonts w:eastAsia="Calibri;Century Gothic"/>
          <w:b w:val="false"/>
          <w:sz w:val="24"/>
          <w:szCs w:val="24"/>
        </w:rPr>
        <w:t xml:space="preserve">                                     </w:t>
      </w:r>
      <w:r>
        <w:rPr>
          <w:rFonts w:eastAsia="Calibri;Century Gothic"/>
          <w:b w:val="false"/>
          <w:sz w:val="24"/>
          <w:szCs w:val="24"/>
          <w:lang w:val="en-US"/>
        </w:rPr>
        <w:t>Amax – Ai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  <w:lang w:val="en-US"/>
        </w:rPr>
      </w:pPr>
      <w:r>
        <w:rPr>
          <w:rFonts w:eastAsia="Calibri;Century Gothic"/>
          <w:b w:val="false"/>
          <w:sz w:val="24"/>
          <w:szCs w:val="24"/>
          <w:lang w:val="en-US"/>
        </w:rPr>
        <w:t xml:space="preserve">                          </w:t>
      </w:r>
      <w:r>
        <w:rPr>
          <w:rFonts w:eastAsia="Calibri;Century Gothic"/>
          <w:b w:val="false"/>
          <w:sz w:val="24"/>
          <w:szCs w:val="24"/>
          <w:lang w:val="en-US"/>
        </w:rPr>
        <w:t>Rai = ––––––––––––– * 100,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  <w:lang w:val="en-US"/>
        </w:rPr>
      </w:pPr>
      <w:r>
        <w:rPr>
          <w:rFonts w:eastAsia="Calibri;Century Gothic"/>
          <w:b w:val="false"/>
          <w:sz w:val="24"/>
          <w:szCs w:val="24"/>
          <w:lang w:val="en-US"/>
        </w:rPr>
        <w:t xml:space="preserve">                                      </w:t>
      </w:r>
      <w:r>
        <w:rPr>
          <w:rFonts w:eastAsia="Calibri;Century Gothic"/>
          <w:b w:val="false"/>
          <w:sz w:val="24"/>
          <w:szCs w:val="24"/>
          <w:lang w:val="en-US"/>
        </w:rPr>
        <w:t xml:space="preserve">A max - A min 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 xml:space="preserve">где 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>Rai – количество баллов, присуждаемых i–ой заявке по указанному критерию;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>Amax – начальная (максимальная) цена договора;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>A min - минимальное предложение по цене из предложенных участниками закупки;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>Ai – предложение по цене i–го участника открытого запроса условий договора, указанное в Заявке на участие в открытом запросе условий договора,</w:t>
      </w:r>
    </w:p>
    <w:p>
      <w:pPr>
        <w:pStyle w:val="Normal"/>
        <w:tabs>
          <w:tab w:val="clear" w:pos="708"/>
          <w:tab w:val="left" w:pos="720" w:leader="none"/>
        </w:tabs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</w:rPr>
        <w:tab/>
        <w:tab/>
      </w:r>
      <w:r>
        <w:rPr>
          <w:b w:val="false"/>
          <w:sz w:val="24"/>
          <w:szCs w:val="24"/>
          <w:u w:val="single"/>
        </w:rPr>
        <w:t>Количество баллов по ценовому критерию заявки 01:</w:t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  <w:lang w:val="en-US"/>
        </w:rPr>
        <w:t>Ra</w:t>
      </w:r>
      <w:r>
        <w:rPr>
          <w:b w:val="false"/>
          <w:sz w:val="24"/>
          <w:szCs w:val="24"/>
        </w:rPr>
        <w:t xml:space="preserve"> 01= (2 112 000,00 - 1 670 112,00) / (2 112 000,00 - 1 670 112,00) *100 = </w:t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</w:rPr>
        <w:t>(441 888,00/ 441 888,00) *100 = 100 баллов.</w:t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</w:rPr>
        <w:tab/>
        <w:t xml:space="preserve">     </w:t>
      </w:r>
      <w:r>
        <w:rPr>
          <w:b w:val="false"/>
          <w:sz w:val="24"/>
          <w:szCs w:val="24"/>
          <w:u w:val="single"/>
        </w:rPr>
        <w:t>Количество баллов по ценовому критерию заявки 02:</w:t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  <w:lang w:val="en-US"/>
        </w:rPr>
        <w:t>Ra</w:t>
      </w:r>
      <w:r>
        <w:rPr>
          <w:b w:val="false"/>
          <w:sz w:val="24"/>
          <w:szCs w:val="24"/>
        </w:rPr>
        <w:t xml:space="preserve"> 02= (2 112 000,00 -2 082 720,00) / (2 112 000,00 - 1 670 112,00) *100 = </w:t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</w:rPr>
        <w:t>(29 280,00/ 441 888,00) *100 =6,63 баллов.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</w:rPr>
        <w:tab/>
        <w:t xml:space="preserve"> </w:t>
      </w:r>
      <w:r>
        <w:rPr>
          <w:sz w:val="24"/>
          <w:szCs w:val="24"/>
        </w:rPr>
        <w:t>Нестоимостной критерий оценки:</w:t>
      </w:r>
    </w:p>
    <w:p>
      <w:pPr>
        <w:pStyle w:val="Normal"/>
        <w:widowControl/>
        <w:tabs>
          <w:tab w:val="clear" w:pos="708"/>
          <w:tab w:val="left" w:pos="709" w:leader="none"/>
        </w:tabs>
        <w:ind w:firstLine="709" w:end="0"/>
        <w:jc w:val="both"/>
        <w:rPr/>
      </w:pPr>
      <w:r>
        <w:rPr>
          <w:b w:val="false"/>
          <w:sz w:val="24"/>
          <w:szCs w:val="24"/>
          <w:lang w:eastAsia="en-US"/>
        </w:rPr>
        <w:t>указывается участником открытого запроса предложений в Приложении №1 к Заявке на участие в открытом запросе предложений</w:t>
      </w:r>
      <w:r>
        <w:rPr>
          <w:rFonts w:cs="Calibri;Century Gothic" w:ascii="Calibri;Century Gothic" w:hAnsi="Calibri;Century Gothic"/>
          <w:b w:val="false"/>
          <w:sz w:val="22"/>
          <w:szCs w:val="22"/>
          <w:lang w:eastAsia="en-US"/>
        </w:rPr>
        <w:t>.</w:t>
      </w:r>
    </w:p>
    <w:p>
      <w:pPr>
        <w:pStyle w:val="Normal"/>
        <w:widowControl/>
        <w:ind w:firstLine="567" w:end="0"/>
        <w:jc w:val="both"/>
        <w:rPr/>
      </w:pPr>
      <w:r>
        <w:rPr>
          <w:rFonts w:eastAsia="Calibri;Century Gothic"/>
          <w:b w:val="false"/>
          <w:sz w:val="24"/>
          <w:szCs w:val="24"/>
          <w:lang w:eastAsia="en-US"/>
        </w:rPr>
        <w:t xml:space="preserve">Порядок оценки заявок по показателю </w:t>
      </w:r>
      <w:r>
        <w:rPr>
          <w:b w:val="false"/>
          <w:bCs/>
          <w:sz w:val="24"/>
          <w:szCs w:val="24"/>
          <w:lang w:eastAsia="en-US"/>
        </w:rPr>
        <w:t>«</w:t>
      </w:r>
      <w:r>
        <w:rPr>
          <w:b w:val="false"/>
          <w:sz w:val="24"/>
          <w:szCs w:val="24"/>
          <w:lang w:eastAsia="en-US"/>
        </w:rPr>
        <w:t>срок выполнения анализов и оформления протоколов»</w:t>
      </w:r>
      <w:r>
        <w:rPr>
          <w:rFonts w:eastAsia="Calibri;Century Gothic"/>
          <w:b w:val="false"/>
          <w:sz w:val="24"/>
          <w:szCs w:val="24"/>
          <w:lang w:eastAsia="en-US"/>
        </w:rPr>
        <w:t>:</w:t>
      </w:r>
    </w:p>
    <w:p>
      <w:pPr>
        <w:pStyle w:val="Normal"/>
        <w:widowControl/>
        <w:autoSpaceDE w:val="false"/>
        <w:jc w:val="both"/>
        <w:rPr>
          <w:b w:val="false"/>
          <w:sz w:val="24"/>
          <w:szCs w:val="24"/>
          <w:lang w:eastAsia="en-US"/>
        </w:rPr>
      </w:pPr>
      <w:r>
        <w:rPr>
          <w:b w:val="false"/>
          <w:sz w:val="24"/>
          <w:szCs w:val="24"/>
          <w:lang w:eastAsia="en-US"/>
        </w:rPr>
        <w:t xml:space="preserve">          </w:t>
      </w:r>
      <w:r>
        <w:rPr>
          <w:b w:val="false"/>
          <w:sz w:val="24"/>
          <w:szCs w:val="24"/>
          <w:lang w:eastAsia="en-US"/>
        </w:rPr>
        <w:t>Количество баллов, присуждаемых по критерию оценки (показателю), определяется в соответствии со следующей шкалой:</w:t>
      </w:r>
    </w:p>
    <w:p>
      <w:pPr>
        <w:pStyle w:val="Normal"/>
        <w:widowControl/>
        <w:autoSpaceDE w:val="false"/>
        <w:jc w:val="both"/>
        <w:rPr>
          <w:b w:val="false"/>
          <w:sz w:val="24"/>
          <w:szCs w:val="24"/>
          <w:lang w:eastAsia="en-US"/>
        </w:rPr>
      </w:pPr>
      <w:r>
        <w:rPr>
          <w:b w:val="false"/>
          <w:sz w:val="24"/>
          <w:szCs w:val="24"/>
          <w:lang w:eastAsia="en-US"/>
        </w:rPr>
      </w:r>
    </w:p>
    <w:tbl>
      <w:tblPr>
        <w:tblW w:w="8931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77"/>
        <w:gridCol w:w="5954"/>
      </w:tblGrid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jc w:val="center"/>
              <w:rPr/>
            </w:pPr>
            <w:r>
              <w:rPr>
                <w:b w:val="false"/>
                <w:sz w:val="24"/>
                <w:szCs w:val="24"/>
                <w:lang w:eastAsia="en-US"/>
              </w:rPr>
              <w:t>Количество баллов (</w:t>
            </w:r>
            <w:r>
              <w:rPr>
                <w:b w:val="false"/>
                <w:sz w:val="24"/>
                <w:szCs w:val="24"/>
                <w:lang w:val="en-US" w:eastAsia="en-US"/>
              </w:rPr>
              <w:t>R</w:t>
            </w:r>
            <w:r>
              <w:rPr>
                <w:b w:val="false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Срок выполнения анализов и оформления протоколов (</w:t>
            </w:r>
            <w:r>
              <w:rPr>
                <w:b w:val="false"/>
                <w:bCs/>
                <w:sz w:val="24"/>
                <w:szCs w:val="24"/>
                <w:lang w:eastAsia="en-US"/>
              </w:rPr>
              <w:t xml:space="preserve">дней </w:t>
            </w:r>
            <w:r>
              <w:rPr>
                <w:b w:val="false"/>
                <w:sz w:val="24"/>
                <w:szCs w:val="24"/>
                <w:lang w:eastAsia="en-US"/>
              </w:rPr>
              <w:t>с момента отбора проб)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100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4 и менее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90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5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both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 xml:space="preserve">      </w:t>
            </w:r>
            <w:r>
              <w:rPr>
                <w:b w:val="false"/>
                <w:sz w:val="24"/>
                <w:szCs w:val="24"/>
                <w:lang w:eastAsia="en-US"/>
              </w:rPr>
              <w:t>75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center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6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851" w:end="0"/>
              <w:jc w:val="both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 xml:space="preserve">      </w:t>
            </w:r>
            <w:r>
              <w:rPr>
                <w:b w:val="false"/>
                <w:sz w:val="24"/>
                <w:szCs w:val="24"/>
                <w:lang w:eastAsia="en-US"/>
              </w:rPr>
              <w:t>50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ind w:firstLine="851" w:end="0"/>
              <w:jc w:val="center"/>
              <w:textAlignment w:val="baseline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7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1168" w:end="0"/>
              <w:jc w:val="both"/>
              <w:rPr/>
            </w:pPr>
            <w:r>
              <w:rPr>
                <w:b w:val="false"/>
                <w:sz w:val="24"/>
                <w:szCs w:val="24"/>
                <w:lang w:eastAsia="en-US"/>
              </w:rPr>
              <w:t xml:space="preserve"> </w:t>
            </w:r>
            <w:r>
              <w:rPr>
                <w:b w:val="false"/>
                <w:sz w:val="24"/>
                <w:szCs w:val="24"/>
                <w:lang w:eastAsia="en-US"/>
              </w:rPr>
              <w:t>25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ind w:firstLine="851" w:end="0"/>
              <w:jc w:val="center"/>
              <w:textAlignment w:val="baseline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8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1168" w:end="0"/>
              <w:jc w:val="both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 xml:space="preserve">  </w:t>
            </w:r>
            <w:r>
              <w:rPr>
                <w:b w:val="false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ind w:firstLine="851" w:end="0"/>
              <w:jc w:val="center"/>
              <w:textAlignment w:val="baseline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9</w:t>
            </w:r>
          </w:p>
        </w:tc>
      </w:tr>
      <w:tr>
        <w:trPr>
          <w:trHeight w:val="227" w:hRule="atLeast"/>
        </w:trPr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720" w:leader="none"/>
              </w:tabs>
              <w:ind w:firstLine="1168" w:end="0"/>
              <w:jc w:val="both"/>
              <w:rPr/>
            </w:pPr>
            <w:r>
              <w:rPr>
                <w:b w:val="false"/>
                <w:sz w:val="24"/>
                <w:szCs w:val="24"/>
                <w:lang w:eastAsia="en-US"/>
              </w:rPr>
              <w:t xml:space="preserve">  </w:t>
            </w:r>
            <w:r>
              <w:rPr>
                <w:b w:val="false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ind w:firstLine="851" w:end="0"/>
              <w:jc w:val="center"/>
              <w:textAlignment w:val="baseline"/>
              <w:rPr>
                <w:b w:val="false"/>
                <w:sz w:val="24"/>
                <w:szCs w:val="24"/>
                <w:lang w:eastAsia="en-US"/>
              </w:rPr>
            </w:pPr>
            <w:r>
              <w:rPr>
                <w:b w:val="false"/>
                <w:sz w:val="24"/>
                <w:szCs w:val="24"/>
                <w:lang w:eastAsia="en-US"/>
              </w:rPr>
              <w:t>10</w:t>
            </w:r>
          </w:p>
        </w:tc>
      </w:tr>
    </w:tbl>
    <w:p>
      <w:pPr>
        <w:pStyle w:val="Normal"/>
        <w:widowControl/>
        <w:tabs>
          <w:tab w:val="clear" w:pos="708"/>
          <w:tab w:val="left" w:pos="9540" w:leader="none"/>
        </w:tabs>
        <w:autoSpaceDE w:val="false"/>
        <w:ind w:firstLine="540" w:end="0"/>
        <w:jc w:val="both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widowControl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firstLine="567" w:end="-3"/>
        <w:contextualSpacing/>
        <w:jc w:val="both"/>
        <w:rPr/>
      </w:pPr>
      <w:r>
        <w:rPr>
          <w:rFonts w:eastAsia="Calibri;Century Gothic"/>
          <w:b w:val="false"/>
          <w:sz w:val="24"/>
          <w:szCs w:val="24"/>
          <w:lang w:eastAsia="en-US"/>
        </w:rPr>
        <w:t>Количество баллов</w:t>
      </w:r>
      <w:r>
        <w:rPr>
          <w:b w:val="false"/>
          <w:sz w:val="24"/>
          <w:szCs w:val="24"/>
          <w:lang w:eastAsia="en-US"/>
        </w:rPr>
        <w:t xml:space="preserve"> по показателю «срок выполнения анализов и оформления протоколов» равно оценке в баллах:</w:t>
      </w:r>
    </w:p>
    <w:p>
      <w:pPr>
        <w:pStyle w:val="Normal"/>
        <w:widowControl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firstLine="567" w:end="-3"/>
        <w:contextualSpacing/>
        <w:jc w:val="both"/>
        <w:rPr>
          <w:rFonts w:eastAsia="Calibri;Century Gothic"/>
          <w:b w:val="false"/>
          <w:sz w:val="24"/>
          <w:szCs w:val="24"/>
          <w:lang w:eastAsia="en-US"/>
        </w:rPr>
      </w:pPr>
      <w:r>
        <w:rPr>
          <w:b w:val="false"/>
          <w:sz w:val="24"/>
          <w:szCs w:val="24"/>
          <w:lang w:val="en-US" w:eastAsia="en-US"/>
        </w:rPr>
        <w:t>R</w:t>
      </w:r>
      <w:r>
        <w:rPr>
          <w:b w:val="false"/>
          <w:sz w:val="24"/>
          <w:szCs w:val="24"/>
          <w:vertAlign w:val="subscript"/>
          <w:lang w:val="en-US" w:eastAsia="en-US"/>
        </w:rPr>
        <w:t>Bi</w:t>
      </w:r>
      <w:r>
        <w:rPr>
          <w:b w:val="false"/>
          <w:sz w:val="24"/>
          <w:szCs w:val="24"/>
          <w:vertAlign w:val="subscript"/>
          <w:lang w:eastAsia="en-US"/>
        </w:rPr>
        <w:t xml:space="preserve"> </w:t>
      </w:r>
      <w:r>
        <w:rPr>
          <w:b w:val="false"/>
          <w:sz w:val="24"/>
          <w:szCs w:val="24"/>
          <w:lang w:eastAsia="en-US"/>
        </w:rPr>
        <w:t xml:space="preserve">= </w:t>
      </w:r>
      <w:r>
        <w:rPr>
          <w:b w:val="false"/>
          <w:sz w:val="24"/>
          <w:szCs w:val="24"/>
          <w:lang w:val="en-US" w:eastAsia="en-US"/>
        </w:rPr>
        <w:t>B</w:t>
      </w:r>
      <w:r>
        <w:rPr>
          <w:b w:val="false"/>
          <w:sz w:val="24"/>
          <w:szCs w:val="24"/>
          <w:vertAlign w:val="subscript"/>
          <w:lang w:val="en-US" w:eastAsia="en-US"/>
        </w:rPr>
        <w:t>i</w:t>
      </w:r>
      <w:r>
        <w:rPr>
          <w:b w:val="false"/>
          <w:sz w:val="24"/>
          <w:szCs w:val="24"/>
          <w:lang w:eastAsia="en-US"/>
        </w:rPr>
        <w:t>,</w:t>
      </w:r>
    </w:p>
    <w:p>
      <w:pPr>
        <w:pStyle w:val="Normal"/>
        <w:widowControl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firstLine="567" w:end="-3"/>
        <w:contextualSpacing/>
        <w:jc w:val="both"/>
        <w:rPr>
          <w:rFonts w:eastAsia="Calibri;Century Gothic"/>
          <w:b w:val="false"/>
          <w:sz w:val="24"/>
          <w:szCs w:val="24"/>
          <w:lang w:eastAsia="en-US"/>
        </w:rPr>
      </w:pPr>
      <w:r>
        <w:rPr>
          <w:rFonts w:eastAsia="Calibri;Century Gothic"/>
          <w:b w:val="false"/>
          <w:sz w:val="24"/>
          <w:szCs w:val="24"/>
          <w:lang w:eastAsia="en-US"/>
        </w:rPr>
      </w:r>
    </w:p>
    <w:p>
      <w:pPr>
        <w:pStyle w:val="Normal"/>
        <w:widowControl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firstLine="567" w:end="-3"/>
        <w:contextualSpacing/>
        <w:jc w:val="both"/>
        <w:rPr/>
      </w:pPr>
      <w:r>
        <w:rPr>
          <w:rFonts w:eastAsia="Calibri;Century Gothic"/>
          <w:b w:val="false"/>
          <w:sz w:val="24"/>
          <w:szCs w:val="24"/>
          <w:lang w:eastAsia="en-US"/>
        </w:rPr>
        <w:t xml:space="preserve">где </w:t>
      </w:r>
      <w:r>
        <w:rPr>
          <w:b w:val="false"/>
          <w:sz w:val="24"/>
          <w:szCs w:val="24"/>
          <w:lang w:val="en-US" w:eastAsia="en-US"/>
        </w:rPr>
        <w:t>R</w:t>
      </w:r>
      <w:r>
        <w:rPr>
          <w:b w:val="false"/>
          <w:sz w:val="24"/>
          <w:szCs w:val="24"/>
          <w:vertAlign w:val="subscript"/>
          <w:lang w:val="en-US" w:eastAsia="en-US"/>
        </w:rPr>
        <w:t>Bi</w:t>
      </w:r>
      <w:r>
        <w:rPr>
          <w:rFonts w:eastAsia="Calibri;Century Gothic"/>
          <w:b w:val="false"/>
          <w:sz w:val="24"/>
          <w:szCs w:val="24"/>
          <w:lang w:eastAsia="en-US"/>
        </w:rPr>
        <w:t xml:space="preserve"> - количество баллов, присуждаемый i-й заявке по указанному показателю,</w:t>
      </w:r>
    </w:p>
    <w:p>
      <w:pPr>
        <w:pStyle w:val="Normal"/>
        <w:widowControl/>
        <w:ind w:firstLine="708" w:end="0"/>
        <w:jc w:val="both"/>
        <w:rPr/>
      </w:pPr>
      <w:r>
        <w:rPr>
          <w:b w:val="false"/>
          <w:sz w:val="24"/>
          <w:szCs w:val="24"/>
          <w:lang w:val="en-US" w:eastAsia="en-US"/>
        </w:rPr>
        <w:t>B</w:t>
      </w:r>
      <w:r>
        <w:rPr>
          <w:b w:val="false"/>
          <w:sz w:val="24"/>
          <w:szCs w:val="24"/>
          <w:vertAlign w:val="subscript"/>
          <w:lang w:val="en-US" w:eastAsia="en-US"/>
        </w:rPr>
        <w:t>i</w:t>
      </w:r>
      <w:r>
        <w:rPr>
          <w:rFonts w:eastAsia="Calibri;Century Gothic"/>
          <w:b w:val="false"/>
          <w:sz w:val="24"/>
          <w:szCs w:val="24"/>
          <w:lang w:eastAsia="en-US"/>
        </w:rPr>
        <w:t xml:space="preserve"> – предложение, содержащееся в i-й заявке </w:t>
      </w:r>
      <w:r>
        <w:rPr>
          <w:b w:val="false"/>
          <w:sz w:val="24"/>
          <w:szCs w:val="24"/>
          <w:lang w:eastAsia="en-US"/>
        </w:rPr>
        <w:t>по сроку выполнения анализов и оформления протоколов (дней</w:t>
      </w:r>
      <w:r>
        <w:rPr>
          <w:b w:val="false"/>
          <w:bCs/>
          <w:sz w:val="24"/>
          <w:szCs w:val="24"/>
          <w:lang w:eastAsia="en-US"/>
        </w:rPr>
        <w:t>)</w:t>
      </w:r>
      <w:r>
        <w:rPr>
          <w:b w:val="false"/>
          <w:sz w:val="24"/>
          <w:szCs w:val="24"/>
          <w:lang w:eastAsia="en-US"/>
        </w:rPr>
        <w:t>,</w:t>
      </w:r>
      <w:r>
        <w:rPr>
          <w:rFonts w:eastAsia="Calibri;Century Gothic"/>
          <w:b w:val="false"/>
          <w:sz w:val="24"/>
          <w:szCs w:val="24"/>
          <w:lang w:eastAsia="en-US"/>
        </w:rPr>
        <w:t xml:space="preserve"> в единице измерения – количество баллов.</w:t>
      </w:r>
    </w:p>
    <w:p>
      <w:pPr>
        <w:pStyle w:val="Normal"/>
        <w:tabs>
          <w:tab w:val="clear" w:pos="708"/>
          <w:tab w:val="left" w:pos="720" w:leader="none"/>
        </w:tabs>
        <w:ind w:hanging="1" w:start="709" w:end="0"/>
        <w:jc w:val="both"/>
        <w:rPr>
          <w:rFonts w:eastAsia="Calibri;Century Gothic"/>
          <w:b w:val="false"/>
          <w:sz w:val="24"/>
          <w:szCs w:val="24"/>
          <w:lang w:eastAsia="en-US"/>
        </w:rPr>
      </w:pPr>
      <w:r>
        <w:rPr>
          <w:rFonts w:eastAsia="Calibri;Century Gothic"/>
          <w:b w:val="false"/>
          <w:sz w:val="24"/>
          <w:szCs w:val="24"/>
          <w:lang w:eastAsia="en-US"/>
        </w:rPr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  <w:u w:val="single"/>
        </w:rPr>
        <w:t>Количество баллов по неценовому критерию заявки 01:</w:t>
      </w:r>
      <w:r>
        <w:rPr>
          <w:b w:val="false"/>
          <w:sz w:val="24"/>
          <w:szCs w:val="24"/>
        </w:rPr>
        <w:t xml:space="preserve"> R</w:t>
      </w:r>
      <w:r>
        <w:rPr>
          <w:b w:val="false"/>
          <w:sz w:val="24"/>
          <w:szCs w:val="24"/>
          <w:vertAlign w:val="subscript"/>
        </w:rPr>
        <w:t xml:space="preserve">В </w:t>
      </w:r>
      <w:r>
        <w:rPr>
          <w:b w:val="false"/>
          <w:sz w:val="24"/>
          <w:szCs w:val="24"/>
        </w:rPr>
        <w:t>01=50 баллов.</w:t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  <w:u w:val="single"/>
        </w:rPr>
        <w:t>Количество баллов по неценовому критерию заявки 02</w:t>
      </w:r>
      <w:r>
        <w:rPr>
          <w:b w:val="false"/>
          <w:sz w:val="24"/>
          <w:szCs w:val="24"/>
        </w:rPr>
        <w:t xml:space="preserve">: </w:t>
      </w:r>
      <w:r>
        <w:rPr>
          <w:b w:val="false"/>
          <w:sz w:val="24"/>
          <w:szCs w:val="24"/>
          <w:lang w:val="en-US"/>
        </w:rPr>
        <w:t>R</w:t>
      </w:r>
      <w:r>
        <w:rPr>
          <w:b w:val="false"/>
          <w:sz w:val="24"/>
          <w:szCs w:val="24"/>
          <w:vertAlign w:val="subscript"/>
        </w:rPr>
        <w:t xml:space="preserve">В </w:t>
      </w:r>
      <w:r>
        <w:rPr>
          <w:b w:val="false"/>
          <w:sz w:val="24"/>
          <w:szCs w:val="24"/>
        </w:rPr>
        <w:t>02=1 балл.</w:t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720" w:leader="none"/>
        </w:tabs>
        <w:ind w:hanging="1" w:start="709" w:end="0"/>
        <w:jc w:val="both"/>
        <w:rPr/>
      </w:pPr>
      <w:r>
        <w:rPr>
          <w:rFonts w:eastAsia="Calibri;Century Gothic"/>
          <w:sz w:val="24"/>
          <w:szCs w:val="24"/>
        </w:rPr>
        <w:t>Рейтинг заявки</w:t>
      </w:r>
      <w:r>
        <w:rPr>
          <w:rFonts w:eastAsia="Calibri;Century Gothic"/>
          <w:b w:val="false"/>
          <w:sz w:val="24"/>
          <w:szCs w:val="24"/>
        </w:rPr>
        <w:t xml:space="preserve"> участника по конкретному критерию определяется по формуле:</w:t>
      </w:r>
    </w:p>
    <w:p>
      <w:pPr>
        <w:pStyle w:val="Normal"/>
        <w:ind w:firstLine="708" w:end="0"/>
        <w:jc w:val="both"/>
        <w:rPr/>
      </w:pPr>
      <w:r>
        <w:rPr>
          <w:rFonts w:eastAsia="Calibri;Century Gothic"/>
          <w:b w:val="false"/>
          <w:sz w:val="24"/>
          <w:szCs w:val="24"/>
        </w:rPr>
        <w:t xml:space="preserve">                      </w:t>
      </w:r>
      <w:r>
        <w:rPr>
          <w:rFonts w:eastAsia="Calibri;Century Gothic"/>
          <w:b w:val="false"/>
          <w:sz w:val="24"/>
          <w:szCs w:val="24"/>
        </w:rPr>
        <w:t>Р</w:t>
      </w:r>
      <w:r>
        <w:rPr>
          <w:rFonts w:eastAsia="Calibri;Century Gothic"/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= </w:t>
      </w:r>
      <w:r>
        <w:rPr>
          <w:rFonts w:eastAsia="Calibri;Century Gothic"/>
          <w:b w:val="false"/>
          <w:sz w:val="24"/>
          <w:szCs w:val="24"/>
          <w:lang w:val="en-US"/>
        </w:rPr>
        <w:t>R</w:t>
      </w:r>
      <w:r>
        <w:rPr>
          <w:rFonts w:eastAsia="Calibri;Century Gothic"/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(количество баллов)</w:t>
      </w:r>
      <w:r>
        <w:rPr>
          <w:rFonts w:eastAsia="Calibri;Century Gothic"/>
          <w:b w:val="false"/>
          <w:sz w:val="24"/>
          <w:szCs w:val="24"/>
          <w:vertAlign w:val="subscript"/>
        </w:rPr>
        <w:t xml:space="preserve"> </w:t>
      </w:r>
      <w:r>
        <w:rPr>
          <w:rFonts w:eastAsia="Calibri;Century Gothic"/>
          <w:b w:val="false"/>
          <w:sz w:val="24"/>
          <w:szCs w:val="24"/>
        </w:rPr>
        <w:t>х значимость (вес) критерия.</w:t>
      </w:r>
      <w:r>
        <w:rPr>
          <w:b w:val="false"/>
          <w:sz w:val="24"/>
          <w:szCs w:val="24"/>
        </w:rPr>
        <w:t xml:space="preserve"> </w:t>
      </w:r>
    </w:p>
    <w:p>
      <w:pPr>
        <w:pStyle w:val="Normal"/>
        <w:ind w:firstLine="708" w:end="0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/>
      </w:pPr>
      <w:r>
        <w:rPr>
          <w:b w:val="false"/>
          <w:sz w:val="24"/>
          <w:szCs w:val="24"/>
          <w:u w:val="single"/>
        </w:rPr>
        <w:t>Рейтинг заявки по показателю «</w:t>
      </w:r>
      <w:r>
        <w:rPr>
          <w:rFonts w:eastAsia="Calibri;Century Gothic"/>
          <w:b w:val="false"/>
          <w:sz w:val="24"/>
          <w:szCs w:val="24"/>
          <w:u w:val="single"/>
        </w:rPr>
        <w:t>цена предложения</w:t>
      </w:r>
      <w:r>
        <w:rPr>
          <w:b w:val="false"/>
          <w:sz w:val="24"/>
          <w:szCs w:val="24"/>
          <w:u w:val="single"/>
        </w:rPr>
        <w:t xml:space="preserve">» </w:t>
      </w:r>
      <w:r>
        <w:rPr>
          <w:b w:val="false"/>
          <w:sz w:val="24"/>
          <w:szCs w:val="24"/>
        </w:rPr>
        <w:t>равно оценке в баллах с учетом значимости критерия оценки:</w:t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>
          <w:rFonts w:eastAsia="Calibri;Century Gothic"/>
          <w:b w:val="false"/>
          <w:sz w:val="24"/>
          <w:szCs w:val="24"/>
        </w:rPr>
      </w:pP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  <w:vertAlign w:val="subscript"/>
        </w:rPr>
        <w:t xml:space="preserve"> </w:t>
      </w:r>
      <w:r>
        <w:rPr>
          <w:b w:val="false"/>
          <w:sz w:val="24"/>
          <w:szCs w:val="24"/>
        </w:rPr>
        <w:t xml:space="preserve">= </w:t>
      </w:r>
      <w:r>
        <w:rPr>
          <w:b w:val="false"/>
          <w:sz w:val="24"/>
          <w:szCs w:val="24"/>
          <w:lang w:val="en-US"/>
        </w:rPr>
        <w:t>R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</w:rPr>
        <w:t xml:space="preserve"> х 0,8,</w:t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/>
      </w:pPr>
      <w:r>
        <w:rPr>
          <w:rFonts w:eastAsia="Calibri;Century Gothic"/>
          <w:b w:val="false"/>
          <w:sz w:val="24"/>
          <w:szCs w:val="24"/>
        </w:rPr>
        <w:t xml:space="preserve">где      </w:t>
      </w: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- рейтинг заявки, присуждаемый i-й заявке по указанному показателю,</w:t>
      </w:r>
    </w:p>
    <w:p>
      <w:pPr>
        <w:pStyle w:val="Normal"/>
        <w:rPr/>
      </w:pPr>
      <w:r>
        <w:rPr>
          <w:b w:val="false"/>
          <w:sz w:val="24"/>
          <w:szCs w:val="24"/>
          <w:lang w:val="en-US"/>
        </w:rPr>
        <w:t>R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– количество баллов, присуждаемых i-й заявке по указанному показателю.                    </w:t>
      </w:r>
    </w:p>
    <w:p>
      <w:pPr>
        <w:pStyle w:val="Normal"/>
        <w:tabs>
          <w:tab w:val="clear" w:pos="708"/>
          <w:tab w:val="left" w:pos="0" w:leader="none"/>
        </w:tabs>
        <w:rPr/>
      </w:pPr>
      <w:r>
        <w:rPr>
          <w:rFonts w:eastAsia="Calibri;Century Gothic"/>
          <w:b w:val="false"/>
          <w:sz w:val="24"/>
          <w:szCs w:val="24"/>
        </w:rPr>
        <w:t>0,8 –значимость (вес) критерия.</w:t>
      </w:r>
    </w:p>
    <w:p>
      <w:pPr>
        <w:pStyle w:val="Normal"/>
        <w:ind w:firstLine="708" w:end="0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/>
      </w:pPr>
      <w:r>
        <w:rPr>
          <w:b w:val="false"/>
          <w:sz w:val="24"/>
          <w:szCs w:val="24"/>
          <w:u w:val="single"/>
        </w:rPr>
        <w:t>Рейтинг по ценовому критерию заявки 01:</w:t>
      </w:r>
      <w:r>
        <w:rPr>
          <w:b w:val="false"/>
          <w:sz w:val="24"/>
          <w:szCs w:val="24"/>
        </w:rPr>
        <w:t xml:space="preserve"> Р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</w:rPr>
        <w:t>01= 100 х 0,8 = 80 баллов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  <w:u w:val="single"/>
        </w:rPr>
        <w:t>Рейтинг по ценовому критерию заявки 02:</w:t>
      </w:r>
      <w:r>
        <w:rPr>
          <w:b w:val="false"/>
          <w:sz w:val="24"/>
          <w:szCs w:val="24"/>
        </w:rPr>
        <w:t xml:space="preserve"> Р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</w:rPr>
        <w:t>02= 6,63 х 0,8 = 5,30 балла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  <w:u w:val="single"/>
        </w:rPr>
      </w:pPr>
      <w:r>
        <w:rPr>
          <w:b w:val="false"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end="-3"/>
        <w:contextualSpacing/>
        <w:rPr/>
      </w:pPr>
      <w:r>
        <w:rPr>
          <w:b w:val="false"/>
          <w:sz w:val="24"/>
          <w:szCs w:val="24"/>
          <w:u w:val="single"/>
        </w:rPr>
        <w:t>Рейтинг заявки по показателю «Срок выполнения анализов и оформления протоколов»</w:t>
      </w:r>
      <w:r>
        <w:rPr>
          <w:b w:val="false"/>
          <w:sz w:val="24"/>
          <w:szCs w:val="24"/>
        </w:rPr>
        <w:t xml:space="preserve"> равно оценке в баллах с учетом значимости критерия оценки:</w:t>
      </w:r>
    </w:p>
    <w:p>
      <w:pPr>
        <w:pStyle w:val="Normal"/>
        <w:tabs>
          <w:tab w:val="clear" w:pos="708"/>
          <w:tab w:val="left" w:pos="383" w:leader="none"/>
          <w:tab w:val="left" w:pos="1980" w:leader="none"/>
          <w:tab w:val="left" w:pos="4763" w:leader="none"/>
        </w:tabs>
        <w:spacing w:before="0" w:after="0"/>
        <w:ind w:firstLine="567" w:end="-3"/>
        <w:contextualSpacing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  <w:tab w:val="left" w:pos="1980" w:leader="none"/>
          <w:tab w:val="left" w:pos="4763" w:leader="none"/>
        </w:tabs>
        <w:spacing w:before="0" w:after="0"/>
        <w:ind w:end="-3"/>
        <w:contextualSpacing/>
        <w:rPr>
          <w:rFonts w:eastAsia="Calibri;Century Gothic"/>
          <w:b w:val="false"/>
          <w:sz w:val="24"/>
          <w:szCs w:val="24"/>
        </w:rPr>
      </w:pP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  <w:lang w:val="en-US"/>
        </w:rPr>
        <w:t>Bi</w:t>
      </w:r>
      <w:r>
        <w:rPr>
          <w:b w:val="false"/>
          <w:sz w:val="24"/>
          <w:szCs w:val="24"/>
          <w:vertAlign w:val="subscript"/>
        </w:rPr>
        <w:t xml:space="preserve"> </w:t>
      </w:r>
      <w:r>
        <w:rPr>
          <w:b w:val="false"/>
          <w:sz w:val="24"/>
          <w:szCs w:val="24"/>
        </w:rPr>
        <w:t xml:space="preserve">= </w:t>
      </w:r>
      <w:r>
        <w:rPr>
          <w:b w:val="false"/>
          <w:sz w:val="24"/>
          <w:szCs w:val="24"/>
          <w:lang w:val="en-US"/>
        </w:rPr>
        <w:t>R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</w:rPr>
        <w:t xml:space="preserve"> х 0,2,</w:t>
      </w:r>
    </w:p>
    <w:p>
      <w:pPr>
        <w:pStyle w:val="Normal"/>
        <w:tabs>
          <w:tab w:val="clear" w:pos="708"/>
          <w:tab w:val="left" w:pos="0" w:leader="none"/>
          <w:tab w:val="left" w:pos="1980" w:leader="none"/>
          <w:tab w:val="left" w:pos="4763" w:leader="none"/>
        </w:tabs>
        <w:spacing w:before="0" w:after="0"/>
        <w:ind w:end="-3"/>
        <w:contextualSpacing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  <w:tab w:val="left" w:pos="1980" w:leader="none"/>
          <w:tab w:val="left" w:pos="4763" w:leader="none"/>
        </w:tabs>
        <w:spacing w:before="0" w:after="0"/>
        <w:ind w:end="-3"/>
        <w:contextualSpacing/>
        <w:rPr/>
      </w:pPr>
      <w:r>
        <w:rPr>
          <w:rFonts w:eastAsia="Calibri;Century Gothic"/>
          <w:b w:val="false"/>
          <w:sz w:val="24"/>
          <w:szCs w:val="24"/>
        </w:rPr>
        <w:t xml:space="preserve">где      </w:t>
      </w: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  <w:lang w:val="en-US"/>
        </w:rPr>
        <w:t>Bi</w:t>
      </w:r>
      <w:r>
        <w:rPr>
          <w:rFonts w:eastAsia="Calibri;Century Gothic"/>
          <w:b w:val="false"/>
          <w:sz w:val="24"/>
          <w:szCs w:val="24"/>
        </w:rPr>
        <w:t xml:space="preserve"> - рейтинг заявки, присуждаемый i-й заявке по указанному показателю,</w:t>
      </w:r>
    </w:p>
    <w:p>
      <w:pPr>
        <w:pStyle w:val="Normal"/>
        <w:tabs>
          <w:tab w:val="clear" w:pos="708"/>
          <w:tab w:val="left" w:pos="0" w:leader="none"/>
        </w:tabs>
        <w:rPr/>
      </w:pPr>
      <w:r>
        <w:rPr>
          <w:b w:val="false"/>
          <w:sz w:val="24"/>
          <w:szCs w:val="24"/>
          <w:lang w:val="en-US"/>
        </w:rPr>
        <w:t>R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– количество баллов, присуждаемых i-й заявке по указанному показателю.                    </w:t>
      </w:r>
    </w:p>
    <w:p>
      <w:pPr>
        <w:pStyle w:val="Normal"/>
        <w:tabs>
          <w:tab w:val="clear" w:pos="708"/>
          <w:tab w:val="left" w:pos="0" w:leader="none"/>
        </w:tabs>
        <w:ind w:hanging="709" w:start="709" w:end="0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  <w:t>0,2 –значимость (вес) критерия.</w:t>
      </w:r>
    </w:p>
    <w:p>
      <w:pPr>
        <w:pStyle w:val="Normal"/>
        <w:tabs>
          <w:tab w:val="clear" w:pos="708"/>
          <w:tab w:val="left" w:pos="0" w:leader="none"/>
        </w:tabs>
        <w:ind w:hanging="709" w:start="709" w:end="0"/>
        <w:rPr>
          <w:rFonts w:eastAsia="Calibri;Century Gothic"/>
          <w:b w:val="false"/>
          <w:sz w:val="24"/>
          <w:szCs w:val="24"/>
        </w:rPr>
      </w:pPr>
      <w:r>
        <w:rPr>
          <w:rFonts w:eastAsia="Calibri;Century Gothic"/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  <w:u w:val="single"/>
        </w:rPr>
        <w:t>Рейтинг по критерию «Срок выполнения анализов и оформления протоколов» заявки 01:</w:t>
      </w:r>
      <w:r>
        <w:rPr>
          <w:b w:val="false"/>
          <w:sz w:val="24"/>
          <w:szCs w:val="24"/>
        </w:rPr>
        <w:t xml:space="preserve"> Р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</w:rPr>
        <w:t>01= 50 х 0,2 = 10 баллов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  <w:u w:val="single"/>
        </w:rPr>
        <w:t>Рейтинг по критерию «Срок выполнения анализов и оформления протоколов» заявки 02:</w:t>
      </w:r>
      <w:r>
        <w:rPr>
          <w:b w:val="false"/>
          <w:sz w:val="24"/>
          <w:szCs w:val="24"/>
        </w:rPr>
        <w:t xml:space="preserve"> Р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</w:rPr>
        <w:t>02= 1 х 0,2 = 0,2 балла.</w:t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jc w:val="both"/>
        <w:rPr>
          <w:b w:val="false"/>
          <w:sz w:val="24"/>
          <w:szCs w:val="24"/>
          <w:u w:val="single"/>
        </w:rPr>
      </w:pPr>
      <w:r>
        <w:rPr>
          <w:b w:val="false"/>
          <w:sz w:val="24"/>
          <w:szCs w:val="24"/>
        </w:rPr>
        <w:tab/>
      </w:r>
      <w:r>
        <w:rPr>
          <w:b w:val="false"/>
          <w:sz w:val="24"/>
          <w:szCs w:val="24"/>
          <w:u w:val="single"/>
        </w:rPr>
        <w:t>Итоговый рейтинг:</w:t>
      </w:r>
    </w:p>
    <w:p>
      <w:pPr>
        <w:pStyle w:val="Normal"/>
        <w:autoSpaceDE w:val="false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Итоговый рейтинг заявки вычисляется как сумма рейтингов по каждому критерию оценки заявки:</w:t>
      </w:r>
    </w:p>
    <w:p>
      <w:pPr>
        <w:pStyle w:val="Normal"/>
        <w:tabs>
          <w:tab w:val="clear" w:pos="708"/>
          <w:tab w:val="left" w:pos="720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720" w:leader="none"/>
        </w:tabs>
        <w:rPr>
          <w:rFonts w:eastAsia="Calibri;Century Gothic"/>
          <w:b w:val="false"/>
          <w:sz w:val="24"/>
          <w:szCs w:val="24"/>
        </w:rPr>
      </w:pP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= </w:t>
      </w: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</w:rPr>
        <w:t>А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+</w:t>
      </w:r>
      <w:r>
        <w:rPr>
          <w:b w:val="false"/>
          <w:sz w:val="24"/>
          <w:szCs w:val="24"/>
          <w:vertAlign w:val="subscript"/>
        </w:rPr>
        <w:t xml:space="preserve"> </w:t>
      </w: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  <w:vertAlign w:val="subscript"/>
        </w:rPr>
        <w:t xml:space="preserve"> </w:t>
      </w:r>
    </w:p>
    <w:p>
      <w:pPr>
        <w:pStyle w:val="Normal"/>
        <w:tabs>
          <w:tab w:val="clear" w:pos="708"/>
          <w:tab w:val="left" w:pos="720" w:leader="none"/>
        </w:tabs>
        <w:rPr/>
      </w:pPr>
      <w:r>
        <w:rPr>
          <w:rFonts w:eastAsia="Calibri;Century Gothic"/>
          <w:b w:val="false"/>
          <w:sz w:val="24"/>
          <w:szCs w:val="24"/>
        </w:rPr>
        <w:t>где: Р</w:t>
      </w:r>
      <w:r>
        <w:rPr>
          <w:rFonts w:eastAsia="Calibri;Century Gothic"/>
          <w:b w:val="false"/>
          <w:sz w:val="24"/>
          <w:szCs w:val="24"/>
          <w:vertAlign w:val="subscript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– итоговый рейтинг i–й заявки на участие в </w:t>
      </w:r>
      <w:r>
        <w:rPr>
          <w:b w:val="false"/>
          <w:sz w:val="24"/>
          <w:szCs w:val="24"/>
        </w:rPr>
        <w:t>открытом запросе условий договора</w:t>
      </w:r>
      <w:r>
        <w:rPr>
          <w:rFonts w:eastAsia="Calibri;Century Gothic"/>
          <w:b w:val="false"/>
          <w:sz w:val="24"/>
          <w:szCs w:val="24"/>
        </w:rPr>
        <w:t>;</w:t>
      </w:r>
    </w:p>
    <w:p>
      <w:pPr>
        <w:pStyle w:val="Normal"/>
        <w:tabs>
          <w:tab w:val="clear" w:pos="708"/>
          <w:tab w:val="left" w:pos="720" w:leader="none"/>
        </w:tabs>
        <w:ind w:hanging="567" w:start="567" w:end="0"/>
        <w:rPr/>
      </w:pPr>
      <w:r>
        <w:rPr>
          <w:rFonts w:eastAsia="Calibri;Century Gothic"/>
          <w:b w:val="false"/>
          <w:sz w:val="24"/>
          <w:szCs w:val="24"/>
        </w:rPr>
        <w:t xml:space="preserve">          </w:t>
      </w:r>
      <w:r>
        <w:rPr>
          <w:rFonts w:eastAsia="Calibri;Century Gothic"/>
          <w:b w:val="false"/>
          <w:sz w:val="24"/>
          <w:szCs w:val="24"/>
        </w:rPr>
        <w:t>Р</w:t>
      </w:r>
      <w:r>
        <w:rPr>
          <w:rFonts w:eastAsia="Calibri;Century Gothic"/>
          <w:b w:val="false"/>
          <w:sz w:val="24"/>
          <w:szCs w:val="24"/>
          <w:vertAlign w:val="subscript"/>
        </w:rPr>
        <w:t>Аi</w:t>
      </w:r>
      <w:r>
        <w:rPr>
          <w:rFonts w:eastAsia="Calibri;Century Gothic"/>
          <w:b w:val="false"/>
          <w:sz w:val="24"/>
          <w:szCs w:val="24"/>
        </w:rPr>
        <w:t xml:space="preserve"> – рейтинг, присвоенный i–й заявке участника </w:t>
      </w:r>
      <w:r>
        <w:rPr>
          <w:b w:val="false"/>
          <w:sz w:val="24"/>
          <w:szCs w:val="24"/>
        </w:rPr>
        <w:t xml:space="preserve">открытого запроса условий договора </w:t>
      </w:r>
      <w:r>
        <w:rPr>
          <w:rFonts w:eastAsia="Calibri;Century Gothic"/>
          <w:b w:val="false"/>
          <w:sz w:val="24"/>
          <w:szCs w:val="24"/>
        </w:rPr>
        <w:t>по ценовому критерию;</w:t>
      </w:r>
    </w:p>
    <w:p>
      <w:pPr>
        <w:pStyle w:val="Normal"/>
        <w:tabs>
          <w:tab w:val="clear" w:pos="708"/>
          <w:tab w:val="left" w:pos="720" w:leader="none"/>
        </w:tabs>
        <w:ind w:hanging="567" w:start="567" w:end="0"/>
        <w:rPr/>
      </w:pPr>
      <w:r>
        <w:rPr>
          <w:b w:val="false"/>
          <w:sz w:val="24"/>
          <w:szCs w:val="24"/>
        </w:rPr>
        <w:t xml:space="preserve">          </w:t>
      </w:r>
      <w:r>
        <w:rPr>
          <w:b w:val="false"/>
          <w:sz w:val="24"/>
          <w:szCs w:val="24"/>
        </w:rPr>
        <w:t>Р</w:t>
      </w:r>
      <w:r>
        <w:rPr>
          <w:b w:val="false"/>
          <w:sz w:val="24"/>
          <w:szCs w:val="24"/>
          <w:vertAlign w:val="subscript"/>
        </w:rPr>
        <w:t>В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rFonts w:eastAsia="Calibri;Century Gothic"/>
          <w:b w:val="false"/>
          <w:sz w:val="24"/>
          <w:szCs w:val="24"/>
        </w:rPr>
        <w:t xml:space="preserve"> – рейтинг, присвоенный i–й заявке участника </w:t>
      </w:r>
      <w:r>
        <w:rPr>
          <w:b w:val="false"/>
          <w:sz w:val="24"/>
          <w:szCs w:val="24"/>
        </w:rPr>
        <w:t xml:space="preserve">открытого запроса условий договора </w:t>
      </w:r>
      <w:r>
        <w:rPr>
          <w:rFonts w:eastAsia="Calibri;Century Gothic"/>
          <w:b w:val="false"/>
          <w:sz w:val="24"/>
          <w:szCs w:val="24"/>
        </w:rPr>
        <w:t>по показателю «</w:t>
      </w:r>
      <w:r>
        <w:rPr>
          <w:b w:val="false"/>
          <w:sz w:val="24"/>
          <w:szCs w:val="24"/>
        </w:rPr>
        <w:t>Срок выполнения анализов и оформления протоколов».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Итоговый Рейтинг заявки 01: </w:t>
      </w:r>
      <w:r>
        <w:rPr>
          <w:b w:val="false"/>
          <w:sz w:val="24"/>
          <w:szCs w:val="24"/>
          <w:lang w:val="en-US"/>
        </w:rPr>
        <w:t>P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</w:rPr>
        <w:t>01 = 80 + 10 = 90 баллов.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Итоговый Рейтинг заявки 02: </w:t>
      </w:r>
      <w:r>
        <w:rPr>
          <w:b w:val="false"/>
          <w:sz w:val="24"/>
          <w:szCs w:val="24"/>
          <w:lang w:val="en-US"/>
        </w:rPr>
        <w:t>P</w:t>
      </w:r>
      <w:r>
        <w:rPr>
          <w:b w:val="false"/>
          <w:sz w:val="24"/>
          <w:szCs w:val="24"/>
          <w:vertAlign w:val="subscript"/>
          <w:lang w:val="en-US"/>
        </w:rPr>
        <w:t>i</w:t>
      </w:r>
      <w:r>
        <w:rPr>
          <w:b w:val="false"/>
          <w:sz w:val="24"/>
          <w:szCs w:val="24"/>
        </w:rPr>
        <w:t>02 = 5,3 + 0,2 = 5,5 балла.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tabs>
          <w:tab w:val="clear" w:pos="708"/>
          <w:tab w:val="left" w:pos="435" w:leader="none"/>
        </w:tabs>
        <w:rPr>
          <w:sz w:val="24"/>
          <w:szCs w:val="24"/>
        </w:rPr>
      </w:pPr>
      <w:r>
        <w:rPr>
          <w:sz w:val="24"/>
          <w:szCs w:val="24"/>
        </w:rPr>
        <w:t>Результаты рассмотрения и оценки заявок:</w:t>
      </w:r>
    </w:p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tbl>
      <w:tblPr>
        <w:tblW w:w="8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35"/>
        <w:gridCol w:w="2190"/>
        <w:gridCol w:w="2045"/>
      </w:tblGrid>
      <w:tr>
        <w:trPr/>
        <w:tc>
          <w:tcPr>
            <w:tcW w:w="4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Порядковый номер по мере уменьшения степени выгодности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Количество набранных баллов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Регистрационный номер заявки</w:t>
            </w:r>
          </w:p>
        </w:tc>
      </w:tr>
      <w:tr>
        <w:trPr/>
        <w:tc>
          <w:tcPr>
            <w:tcW w:w="4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1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90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01</w:t>
            </w:r>
          </w:p>
        </w:tc>
      </w:tr>
      <w:tr>
        <w:trPr/>
        <w:tc>
          <w:tcPr>
            <w:tcW w:w="4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2</w:t>
            </w:r>
          </w:p>
        </w:tc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5,50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35" w:leader="none"/>
              </w:tabs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02</w:t>
            </w:r>
          </w:p>
        </w:tc>
      </w:tr>
    </w:tbl>
    <w:p>
      <w:pPr>
        <w:pStyle w:val="Normal"/>
        <w:tabs>
          <w:tab w:val="clear" w:pos="708"/>
          <w:tab w:val="left" w:pos="435" w:leader="none"/>
        </w:tabs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Решение Комиссии:</w:t>
      </w:r>
    </w:p>
    <w:p>
      <w:pPr>
        <w:pStyle w:val="Normal"/>
        <w:ind w:firstLine="567" w:end="0"/>
        <w:jc w:val="both"/>
        <w:rPr/>
      </w:pPr>
      <w:r>
        <w:rPr>
          <w:b w:val="false"/>
          <w:sz w:val="24"/>
          <w:szCs w:val="24"/>
        </w:rPr>
        <w:t>По итогам рассмотрения, оценки и сопоставления заявок на участие в открытом запросе условий договора, Комиссия решила:</w:t>
      </w:r>
    </w:p>
    <w:p>
      <w:pPr>
        <w:pStyle w:val="Normal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1. заявке № 01 присвоить первый номер, заявке № 02 присвоить второй номер.</w:t>
      </w:r>
    </w:p>
    <w:p>
      <w:pPr>
        <w:pStyle w:val="Normal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2. признать победителем открытого запроса условий договора участника, подавшего заявку № 01.</w:t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Члены Комиссии:</w:t>
      </w:r>
    </w:p>
    <w:p>
      <w:pPr>
        <w:pStyle w:val="Normal"/>
        <w:spacing w:lineRule="auto" w:line="360"/>
        <w:jc w:val="center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Конфиденциальная информация – Федеральный закон от 27.07.2006 г.</w:t>
      </w:r>
    </w:p>
    <w:p>
      <w:pPr>
        <w:pStyle w:val="Normal"/>
        <w:spacing w:lineRule="auto" w:line="360"/>
        <w:jc w:val="center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 № </w:t>
      </w:r>
      <w:r>
        <w:rPr>
          <w:b w:val="false"/>
          <w:sz w:val="24"/>
          <w:szCs w:val="24"/>
        </w:rPr>
        <w:t>152-ФЗ «О персональных данных»</w:t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tbl>
      <w:tblPr>
        <w:tblpPr w:vertAnchor="text" w:horzAnchor="margin" w:rightFromText="180" w:tblpX="0" w:tblpY="82"/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2700"/>
        <w:gridCol w:w="239"/>
        <w:gridCol w:w="2641"/>
      </w:tblGrid>
      <w:tr>
        <w:trPr>
          <w:trHeight w:val="539" w:hRule="atLeast"/>
        </w:trPr>
        <w:tc>
          <w:tcPr>
            <w:tcW w:w="4428" w:type="dxa"/>
            <w:tcBorders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641" w:type="dxa"/>
            <w:tcBorders/>
          </w:tcPr>
          <w:p>
            <w:pPr>
              <w:pStyle w:val="Header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</w:tr>
      <w:tr>
        <w:trPr>
          <w:trHeight w:val="532" w:hRule="atLeast"/>
        </w:trPr>
        <w:tc>
          <w:tcPr>
            <w:tcW w:w="4428" w:type="dxa"/>
            <w:tcBorders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right" w:pos="2124" w:leader="none"/>
              </w:tabs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641" w:type="dxa"/>
            <w:tcBorders/>
          </w:tcPr>
          <w:p>
            <w:pPr>
              <w:pStyle w:val="Header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</w:tr>
      <w:tr>
        <w:trPr>
          <w:trHeight w:val="557" w:hRule="atLeast"/>
        </w:trPr>
        <w:tc>
          <w:tcPr>
            <w:tcW w:w="4428" w:type="dxa"/>
            <w:tcBorders/>
          </w:tcPr>
          <w:p>
            <w:pPr>
              <w:pStyle w:val="Normal"/>
              <w:snapToGrid w:val="false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right" w:pos="2124" w:leader="none"/>
              </w:tabs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641" w:type="dxa"/>
            <w:tcBorders/>
          </w:tcPr>
          <w:p>
            <w:pPr>
              <w:pStyle w:val="Header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</w:tr>
      <w:tr>
        <w:trPr>
          <w:trHeight w:val="557" w:hRule="atLeast"/>
        </w:trPr>
        <w:tc>
          <w:tcPr>
            <w:tcW w:w="4428" w:type="dxa"/>
            <w:tcBorders/>
          </w:tcPr>
          <w:p>
            <w:pPr>
              <w:pStyle w:val="Normal"/>
              <w:snapToGrid w:val="false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  <w:p>
            <w:pPr>
              <w:pStyle w:val="Normal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right" w:pos="2124" w:leader="none"/>
              </w:tabs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641" w:type="dxa"/>
            <w:tcBorders/>
          </w:tcPr>
          <w:p>
            <w:pPr>
              <w:pStyle w:val="Header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  <w:p>
            <w:pPr>
              <w:pStyle w:val="Header"/>
              <w:rPr/>
            </w:pPr>
            <w:r>
              <w:rPr/>
            </w:r>
          </w:p>
          <w:p>
            <w:pPr>
              <w:pStyle w:val="Header"/>
              <w:rPr/>
            </w:pPr>
            <w:r>
              <w:rPr/>
            </w:r>
          </w:p>
        </w:tc>
      </w:tr>
      <w:tr>
        <w:trPr>
          <w:trHeight w:val="557" w:hRule="atLeast"/>
        </w:trPr>
        <w:tc>
          <w:tcPr>
            <w:tcW w:w="4428" w:type="dxa"/>
            <w:tcBorders/>
          </w:tcPr>
          <w:p>
            <w:pPr>
              <w:pStyle w:val="Normal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 xml:space="preserve">Дата подписания протокола     </w:t>
            </w:r>
          </w:p>
        </w:tc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right" w:pos="2124" w:leader="none"/>
              </w:tabs>
              <w:snapToGrid w:val="false"/>
              <w:rPr>
                <w:b w:val="false"/>
                <w:color w:val="000000"/>
                <w:sz w:val="24"/>
                <w:szCs w:val="24"/>
              </w:rPr>
            </w:pPr>
            <w:r>
              <w:rPr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2641" w:type="dxa"/>
            <w:tcBorders/>
          </w:tcPr>
          <w:p>
            <w:pPr>
              <w:pStyle w:val="Header"/>
              <w:rPr/>
            </w:pPr>
            <w:r>
              <w:rPr>
                <w:lang w:val="ru-RU"/>
              </w:rPr>
              <w:t>28</w:t>
            </w:r>
            <w:r>
              <w:rPr/>
              <w:t xml:space="preserve"> февраля 202</w:t>
            </w:r>
            <w:r>
              <w:rPr>
                <w:lang w:val="ru-RU"/>
              </w:rPr>
              <w:t>5</w:t>
            </w:r>
            <w:r>
              <w:rPr/>
              <w:t xml:space="preserve"> года</w:t>
            </w:r>
          </w:p>
        </w:tc>
      </w:tr>
    </w:tbl>
    <w:p>
      <w:pPr>
        <w:pStyle w:val="Normal"/>
        <w:ind w:start="1080" w:end="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sectPr>
      <w:type w:val="nextPage"/>
      <w:pgSz w:w="11906" w:h="16838"/>
      <w:pgMar w:left="900" w:right="707" w:gutter="0" w:header="0" w:top="567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altName w:val="Helvetica"/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altName w:val="Times New Roman"/>
    <w:charset w:val="cc" w:characterSet="windows-1251"/>
    <w:family w:val="swiss"/>
    <w:pitch w:val="variable"/>
  </w:font>
  <w:font w:name="Calibri">
    <w:altName w:val="Century Gothic"/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"/>
      <w:lvlJc w:val="start"/>
      <w:pPr>
        <w:tabs>
          <w:tab w:val="num" w:pos="0"/>
        </w:tabs>
        <w:ind w:start="4131" w:hanging="171"/>
      </w:pPr>
      <w:rPr>
        <w:sz w:val="28"/>
        <w:i w:val="false"/>
        <w:u w:val="none"/>
        <w:b/>
        <w:szCs w:val="28"/>
        <w:rFonts w:ascii="Times New Roman;Times New Roman" w:hAnsi="Times New Roman;Times New Roman" w:cs="Times New Roman;Times New Roman"/>
        <w:color w:val="000000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1494"/>
        </w:tabs>
        <w:ind w:start="360" w:firstLine="720"/>
      </w:pPr>
      <w:rPr>
        <w:sz w:val="24"/>
        <w:i w:val="false"/>
        <w:u w:val="none"/>
        <w:b w:val="false"/>
        <w:szCs w:val="24"/>
        <w:bCs/>
        <w:rFonts w:ascii="Times New Roman;Times New Roman" w:hAnsi="Times New Roman;Times New Roman" w:cs="Times New Roman;Times New Roman"/>
        <w:color w:val="000000"/>
      </w:rPr>
    </w:lvl>
    <w:lvl w:ilvl="2">
      <w:start w:val="1"/>
      <w:numFmt w:val="decimal"/>
      <w:lvlText w:val="%1.%2.%3"/>
      <w:lvlJc w:val="start"/>
      <w:pPr>
        <w:tabs>
          <w:tab w:val="num" w:pos="1834"/>
        </w:tabs>
        <w:ind w:start="360" w:firstLine="720"/>
      </w:pPr>
      <w:rPr>
        <w:sz w:val="24"/>
        <w:i w:val="false"/>
        <w:u w:val="none"/>
        <w:b w:val="false"/>
        <w:szCs w:val="24"/>
        <w:rFonts w:ascii="Times New Roman;Times New Roman" w:hAnsi="Times New Roman;Times New Roman" w:cs="Times New Roman;Times New Roman"/>
        <w:color w:val="000000"/>
      </w:rPr>
    </w:lvl>
    <w:lvl w:ilvl="3">
      <w:start w:val="1"/>
      <w:pStyle w:val="Heading4"/>
      <w:numFmt w:val="decimal"/>
      <w:lvlText w:val="%1.%2.%3.%4"/>
      <w:lvlJc w:val="start"/>
      <w:pPr>
        <w:tabs>
          <w:tab w:val="num" w:pos="2138"/>
        </w:tabs>
        <w:ind w:start="720" w:firstLine="720"/>
      </w:pPr>
      <w:rPr>
        <w:sz w:val="24"/>
        <w:i w:val="false"/>
        <w:u w:val="none"/>
        <w:b/>
        <w:szCs w:val="24"/>
        <w:rFonts w:ascii="Arial;Helvetica" w:hAnsi="Arial;Helvetica" w:cs="Times New Roman;Times New Roman"/>
        <w:color w:val="000000"/>
      </w:rPr>
    </w:lvl>
    <w:lvl w:ilvl="4">
      <w:start w:val="1"/>
      <w:pStyle w:val="Heading5"/>
      <w:numFmt w:val="russianUpper"/>
      <w:suff w:val="space"/>
      <w:lvlText w:val="Приложение %5"/>
      <w:lvlJc w:val="center"/>
      <w:pPr>
        <w:tabs>
          <w:tab w:val="num" w:pos="0"/>
        </w:tabs>
        <w:ind w:start="0" w:firstLine="1134"/>
      </w:pPr>
      <w:rPr>
        <w:sz w:val="32"/>
        <w:i w:val="false"/>
        <w:u w:val="none"/>
        <w:b/>
        <w:szCs w:val="32"/>
        <w:rFonts w:ascii="Times New Roman;Times New Roman" w:hAnsi="Times New Roman;Times New Roman" w:cs="Times New Roman;Times New Roman"/>
        <w:color w:val="000000"/>
      </w:rPr>
    </w:lvl>
    <w:lvl w:ilvl="5">
      <w:start w:val="1"/>
      <w:pStyle w:val="Heading6"/>
      <w:numFmt w:val="decimal"/>
      <w:lvlText w:val="%1.%2.%3.%4.%5.%6"/>
      <w:lvlJc w:val="start"/>
      <w:pPr>
        <w:tabs>
          <w:tab w:val="num" w:pos="1872"/>
        </w:tabs>
        <w:ind w:start="1872" w:hanging="1152"/>
      </w:pPr>
      <w:rPr>
        <w:rFonts w:cs="Times New Roman;Times New Roman"/>
      </w:r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2016"/>
        </w:tabs>
        <w:ind w:start="2016" w:hanging="1296"/>
      </w:pPr>
      <w:rPr>
        <w:rFonts w:cs="Times New Roman;Times New Roman"/>
      </w:r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2160"/>
        </w:tabs>
        <w:ind w:start="2160" w:hanging="1440"/>
      </w:pPr>
      <w:rPr>
        <w:rFonts w:cs="Times New Roman;Times New Roman"/>
      </w:r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2304"/>
        </w:tabs>
        <w:ind w:start="2304" w:hanging="1584"/>
      </w:pPr>
      <w:rPr>
        <w:rFonts w:cs="Times New Roman;Times New Roman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Times New Roman" w:hAnsi="Times New Roman;Times New Roman" w:eastAsia="Times New Roman;Times New Roman" w:cs="Times New Roman;Times New Roman"/>
      <w:b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widowControl/>
      <w:numPr>
        <w:ilvl w:val="0"/>
        <w:numId w:val="1"/>
      </w:numPr>
      <w:outlineLvl w:val="0"/>
    </w:pPr>
    <w:rPr>
      <w:bCs/>
      <w:sz w:val="28"/>
      <w:szCs w:val="24"/>
    </w:rPr>
  </w:style>
  <w:style w:type="paragraph" w:styleId="Heading2">
    <w:name w:val="heading 2"/>
    <w:basedOn w:val="Normal"/>
    <w:next w:val="Normal"/>
    <w:qFormat/>
    <w:pPr>
      <w:widowControl/>
      <w:numPr>
        <w:ilvl w:val="1"/>
        <w:numId w:val="1"/>
      </w:numPr>
      <w:jc w:val="both"/>
      <w:outlineLvl w:val="1"/>
    </w:pPr>
    <w:rPr>
      <w:rFonts w:cs="Arial;Helvetica"/>
      <w:b w:val="false"/>
      <w:bCs/>
      <w:iCs/>
      <w:sz w:val="24"/>
      <w:szCs w:val="28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spacing w:before="240" w:after="60"/>
      <w:outlineLvl w:val="3"/>
    </w:pPr>
    <w:rPr>
      <w:bCs/>
      <w:sz w:val="28"/>
      <w:szCs w:val="28"/>
    </w:rPr>
  </w:style>
  <w:style w:type="paragraph" w:styleId="Heading5">
    <w:name w:val="heading 5"/>
    <w:basedOn w:val="Normal"/>
    <w:next w:val="Normal"/>
    <w:qFormat/>
    <w:pPr>
      <w:widowControl/>
      <w:numPr>
        <w:ilvl w:val="4"/>
        <w:numId w:val="1"/>
      </w:numPr>
      <w:spacing w:before="240" w:after="60"/>
      <w:jc w:val="center"/>
      <w:outlineLvl w:val="4"/>
    </w:pPr>
    <w:rPr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numPr>
        <w:ilvl w:val="5"/>
        <w:numId w:val="1"/>
      </w:numPr>
      <w:spacing w:before="240" w:after="60"/>
      <w:outlineLvl w:val="5"/>
    </w:pPr>
    <w:rPr>
      <w:bCs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numPr>
        <w:ilvl w:val="6"/>
        <w:numId w:val="1"/>
      </w:numPr>
      <w:spacing w:before="240" w:after="60"/>
      <w:outlineLvl w:val="6"/>
    </w:pPr>
    <w:rPr>
      <w:b w:val="false"/>
      <w:sz w:val="24"/>
      <w:szCs w:val="24"/>
    </w:rPr>
  </w:style>
  <w:style w:type="paragraph" w:styleId="Heading8">
    <w:name w:val="heading 8"/>
    <w:basedOn w:val="Normal"/>
    <w:next w:val="Normal"/>
    <w:qFormat/>
    <w:pPr>
      <w:widowControl/>
      <w:numPr>
        <w:ilvl w:val="7"/>
        <w:numId w:val="1"/>
      </w:numPr>
      <w:spacing w:before="240" w:after="60"/>
      <w:outlineLvl w:val="7"/>
    </w:pPr>
    <w:rPr>
      <w:b w:val="false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;Helvetica" w:hAnsi="Arial;Helvetica" w:cs="Arial;Helvetica"/>
      <w:b w:val="false"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;Times New Roman" w:hAnsi="Times New Roman;Times New Roman" w:cs="Times New Roman;Times New Roman"/>
      <w:b/>
      <w:i w:val="false"/>
      <w:color w:val="000000"/>
      <w:sz w:val="28"/>
      <w:szCs w:val="28"/>
      <w:u w:val="none"/>
    </w:rPr>
  </w:style>
  <w:style w:type="character" w:styleId="WW8Num10z1">
    <w:name w:val="WW8Num10z1"/>
    <w:qFormat/>
    <w:rPr>
      <w:rFonts w:ascii="Times New Roman;Times New Roman" w:hAnsi="Times New Roman;Times New Roman" w:cs="Times New Roman;Times New Roman"/>
      <w:b w:val="false"/>
      <w:bCs/>
      <w:i w:val="false"/>
      <w:color w:val="000000"/>
      <w:sz w:val="24"/>
      <w:szCs w:val="24"/>
      <w:u w:val="none"/>
    </w:rPr>
  </w:style>
  <w:style w:type="character" w:styleId="WW8Num10z2">
    <w:name w:val="WW8Num10z2"/>
    <w:qFormat/>
    <w:rPr>
      <w:rFonts w:ascii="Times New Roman;Times New Roman" w:hAnsi="Times New Roman;Times New Roman" w:cs="Times New Roman;Times New Roman"/>
      <w:b w:val="false"/>
      <w:i w:val="false"/>
      <w:color w:val="000000"/>
      <w:sz w:val="24"/>
      <w:szCs w:val="24"/>
      <w:u w:val="none"/>
    </w:rPr>
  </w:style>
  <w:style w:type="character" w:styleId="WW8Num10z3">
    <w:name w:val="WW8Num10z3"/>
    <w:qFormat/>
    <w:rPr>
      <w:rFonts w:ascii="Arial;Helvetica" w:hAnsi="Arial;Helvetica" w:cs="Times New Roman;Times New Roman"/>
      <w:b/>
      <w:i w:val="false"/>
      <w:color w:val="000000"/>
      <w:sz w:val="24"/>
      <w:szCs w:val="24"/>
      <w:u w:val="none"/>
    </w:rPr>
  </w:style>
  <w:style w:type="character" w:styleId="WW8Num10z4">
    <w:name w:val="WW8Num10z4"/>
    <w:qFormat/>
    <w:rPr>
      <w:rFonts w:ascii="Times New Roman;Times New Roman" w:hAnsi="Times New Roman;Times New Roman" w:cs="Times New Roman;Times New Roman"/>
      <w:b/>
      <w:i w:val="false"/>
      <w:color w:val="000000"/>
      <w:sz w:val="32"/>
      <w:szCs w:val="32"/>
      <w:u w:val="none"/>
    </w:rPr>
  </w:style>
  <w:style w:type="character" w:styleId="WW8Num10z5">
    <w:name w:val="WW8Num10z5"/>
    <w:qFormat/>
    <w:rPr>
      <w:rFonts w:cs="Times New Roman;Times New Roman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;Times New Roman" w:hAnsi="Times New Roman;Times New Roman" w:cs="Times New Roman;Times New Roman"/>
      <w:b/>
      <w:i w:val="false"/>
      <w:color w:val="000000"/>
      <w:sz w:val="28"/>
      <w:szCs w:val="28"/>
      <w:u w:val="none"/>
    </w:rPr>
  </w:style>
  <w:style w:type="character" w:styleId="WW8Num16z1">
    <w:name w:val="WW8Num16z1"/>
    <w:qFormat/>
    <w:rPr>
      <w:rFonts w:ascii="Times New Roman;Times New Roman" w:hAnsi="Times New Roman;Times New Roman" w:cs="Times New Roman;Times New Roman"/>
      <w:b w:val="false"/>
      <w:bCs/>
      <w:i w:val="false"/>
      <w:color w:val="000000"/>
      <w:sz w:val="24"/>
      <w:szCs w:val="24"/>
      <w:u w:val="none"/>
    </w:rPr>
  </w:style>
  <w:style w:type="character" w:styleId="WW8Num16z2">
    <w:name w:val="WW8Num16z2"/>
    <w:qFormat/>
    <w:rPr>
      <w:rFonts w:ascii="Times New Roman;Times New Roman" w:hAnsi="Times New Roman;Times New Roman" w:cs="Times New Roman;Times New Roman"/>
      <w:b w:val="false"/>
      <w:i w:val="false"/>
      <w:color w:val="000000"/>
      <w:sz w:val="24"/>
      <w:szCs w:val="24"/>
      <w:u w:val="none"/>
    </w:rPr>
  </w:style>
  <w:style w:type="character" w:styleId="WW8Num16z3">
    <w:name w:val="WW8Num16z3"/>
    <w:qFormat/>
    <w:rPr>
      <w:rFonts w:ascii="Arial;Helvetica" w:hAnsi="Arial;Helvetica" w:cs="Times New Roman;Times New Roman"/>
      <w:b/>
      <w:i w:val="false"/>
      <w:color w:val="000000"/>
      <w:sz w:val="24"/>
      <w:szCs w:val="24"/>
      <w:u w:val="none"/>
    </w:rPr>
  </w:style>
  <w:style w:type="character" w:styleId="WW8Num16z4">
    <w:name w:val="WW8Num16z4"/>
    <w:qFormat/>
    <w:rPr>
      <w:rFonts w:ascii="Times New Roman;Times New Roman" w:hAnsi="Times New Roman;Times New Roman" w:cs="Times New Roman;Times New Roman"/>
      <w:b/>
      <w:i w:val="false"/>
      <w:color w:val="000000"/>
      <w:sz w:val="32"/>
      <w:szCs w:val="32"/>
      <w:u w:val="none"/>
    </w:rPr>
  </w:style>
  <w:style w:type="character" w:styleId="WW8Num16z5">
    <w:name w:val="WW8Num16z5"/>
    <w:qFormat/>
    <w:rPr>
      <w:rFonts w:cs="Times New Roman;Times New Roman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Style6">
    <w:name w:val="Основной шрифт абзаца"/>
    <w:qFormat/>
    <w:rPr/>
  </w:style>
  <w:style w:type="character" w:styleId="Style7">
    <w:name w:val="Знак примечания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tyle8">
    <w:name w:val="Верх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/>
      <w:tabs>
        <w:tab w:val="clear" w:pos="708"/>
        <w:tab w:val="center" w:pos="4677" w:leader="none"/>
        <w:tab w:val="right" w:pos="9355" w:leader="none"/>
      </w:tabs>
    </w:pPr>
    <w:rPr>
      <w:b w:val="false"/>
      <w:sz w:val="24"/>
      <w:szCs w:val="24"/>
      <w:lang w:val="en-US"/>
    </w:rPr>
  </w:style>
  <w:style w:type="paragraph" w:styleId="Style9">
    <w:name w:val="Текст выноски"/>
    <w:basedOn w:val="Normal"/>
    <w:qFormat/>
    <w:pPr/>
    <w:rPr>
      <w:rFonts w:ascii="Tahoma;Times New Roman" w:hAnsi="Tahoma;Times New Roman" w:cs="Tahoma;Times New Roman"/>
      <w:sz w:val="16"/>
      <w:szCs w:val="16"/>
    </w:rPr>
  </w:style>
  <w:style w:type="paragraph" w:styleId="ConsNormal">
    <w:name w:val="ConsNormal"/>
    <w:qFormat/>
    <w:pPr>
      <w:widowControl/>
      <w:autoSpaceDE w:val="false"/>
      <w:bidi w:val="0"/>
      <w:ind w:firstLine="720" w:start="0" w:end="19772"/>
    </w:pPr>
    <w:rPr>
      <w:rFonts w:ascii="Arial;Helvetica" w:hAnsi="Arial;Helvetica" w:eastAsia="Times New Roman;Times New Roman" w:cs="Arial;Helvetica"/>
      <w:color w:val="auto"/>
      <w:sz w:val="20"/>
      <w:szCs w:val="20"/>
      <w:lang w:val="ru-RU" w:bidi="ar-SA" w:eastAsia="zh-CN"/>
    </w:rPr>
  </w:style>
  <w:style w:type="paragraph" w:styleId="Style10">
    <w:name w:val="Текст примечания"/>
    <w:basedOn w:val="Normal"/>
    <w:qFormat/>
    <w:pPr/>
    <w:rPr/>
  </w:style>
  <w:style w:type="paragraph" w:styleId="Style11">
    <w:name w:val="Тема примечания"/>
    <w:basedOn w:val="Style10"/>
    <w:next w:val="Style10"/>
    <w:qFormat/>
    <w:pPr/>
    <w:rPr>
      <w:bCs/>
    </w:rPr>
  </w:style>
  <w:style w:type="paragraph" w:styleId="Style12">
    <w:name w:val=" Знак"/>
    <w:basedOn w:val="Normal"/>
    <w:qFormat/>
    <w:pPr>
      <w:widowControl/>
      <w:spacing w:lineRule="exact" w:line="240" w:before="0" w:after="160"/>
    </w:pPr>
    <w:rPr>
      <w:rFonts w:ascii="Tahoma;Times New Roman" w:hAnsi="Tahoma;Times New Roman" w:cs="Tahoma;Times New Roman"/>
      <w:b w:val="false"/>
      <w:sz w:val="18"/>
      <w:lang w:val="en-US"/>
    </w:rPr>
  </w:style>
  <w:style w:type="paragraph" w:styleId="Style13">
    <w:name w:val="Абзац списка"/>
    <w:basedOn w:val="Normal"/>
    <w:qFormat/>
    <w:pPr>
      <w:widowControl/>
      <w:suppressAutoHyphens w:val="true"/>
      <w:spacing w:lineRule="auto" w:line="276" w:before="0" w:after="200"/>
      <w:ind w:hanging="0" w:start="708" w:end="0"/>
    </w:pPr>
    <w:rPr>
      <w:rFonts w:ascii="Calibri;Century Gothic" w:hAnsi="Calibri;Century Gothic" w:eastAsia="Calibri;Century Gothic" w:cs="Calibri;Century Gothic"/>
      <w:b w:val="false"/>
      <w:sz w:val="22"/>
      <w:szCs w:val="2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;Courier New" w:hAnsi="Courier New;Courier New" w:eastAsia="Times New Roman;Times New Roman" w:cs="Courier New;Courier New"/>
      <w:color w:val="auto"/>
      <w:sz w:val="20"/>
      <w:szCs w:val="20"/>
      <w:lang w:val="ru-RU" w:bidi="ar-SA" w:eastAsia="zh-CN"/>
    </w:rPr>
  </w:style>
  <w:style w:type="paragraph" w:styleId="Style14">
    <w:name w:val="Обычный (веб)"/>
    <w:basedOn w:val="Normal"/>
    <w:qFormat/>
    <w:pPr>
      <w:widowControl/>
      <w:spacing w:before="280" w:after="280"/>
    </w:pPr>
    <w:rPr>
      <w:b w:val="false"/>
      <w:sz w:val="24"/>
      <w:szCs w:val="24"/>
    </w:rPr>
  </w:style>
  <w:style w:type="paragraph" w:styleId="Style15">
    <w:name w:val="Без интервала"/>
    <w:qFormat/>
    <w:pPr>
      <w:widowControl w:val="false"/>
      <w:bidi w:val="0"/>
    </w:pPr>
    <w:rPr>
      <w:rFonts w:ascii="Times New Roman;Times New Roman" w:hAnsi="Times New Roman;Times New Roman" w:eastAsia="Times New Roman;Times New Roman" w:cs="Times New Roman;Times New Roman"/>
      <w:b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2012-09-19T05:50:00Z</dcterms:created>
  <dc:creator>KalashnikovaVL</dc:creator>
  <dc:description/>
  <cp:keywords/>
  <dc:language>en-US</dc:language>
  <cp:lastModifiedBy>zakupki2</cp:lastModifiedBy>
  <cp:lastPrinted>2019-03-19T15:16:00Z</cp:lastPrinted>
  <dcterms:modified xsi:type="dcterms:W3CDTF">2025-03-03T09:11:00Z</dcterms:modified>
  <cp:revision>211</cp:revision>
  <dc:subject/>
  <dc:title>УТВЕРЖДАЮ</dc:title>
</cp:coreProperties>
</file>