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  <w:t xml:space="preserve">                                            </w:t>
      </w:r>
      <w:r>
        <w:rPr>
          <w:sz w:val="20"/>
          <w:szCs w:val="20"/>
          <w:lang w:eastAsia="ar-SA"/>
        </w:rPr>
        <w:t>Государственное областное автономное учреждение культуры</w:t>
      </w:r>
    </w:p>
    <w:p>
      <w:pPr>
        <w:pStyle w:val="Normal"/>
        <w:suppressAutoHyphens w:val="true"/>
        <w:jc w:val="center"/>
        <w:rPr>
          <w:sz w:val="18"/>
          <w:szCs w:val="18"/>
          <w:lang w:eastAsia="ar-SA"/>
        </w:rPr>
      </w:pPr>
      <w:r>
        <w:rPr>
          <w:b/>
          <w:sz w:val="22"/>
          <w:szCs w:val="22"/>
          <w:lang w:eastAsia="ar-SA"/>
        </w:rPr>
        <w:t>«МУРМАНСКАЯ ОБЛАСТНАЯ ФИЛАРМОНИЯ»</w:t>
      </w:r>
    </w:p>
    <w:p>
      <w:pPr>
        <w:pStyle w:val="Normal"/>
        <w:suppressAutoHyphens w:val="true"/>
        <w:jc w:val="end"/>
        <w:rPr>
          <w:sz w:val="18"/>
          <w:szCs w:val="18"/>
          <w:lang w:eastAsia="ar-SA"/>
        </w:rPr>
      </w:pPr>
      <w:r>
        <w:rPr>
          <w:sz w:val="18"/>
          <w:szCs w:val="18"/>
          <w:lang w:eastAsia="ar-SA"/>
        </w:rPr>
      </w:r>
    </w:p>
    <w:p>
      <w:pPr>
        <w:pStyle w:val="Normal"/>
        <w:pBdr>
          <w:bottom w:val="single" w:sz="8" w:space="1" w:color="000000"/>
        </w:pBdr>
        <w:suppressAutoHyphens w:val="true"/>
        <w:rPr>
          <w:b/>
          <w:bCs/>
          <w:color w:val="000000"/>
          <w:kern w:val="2"/>
          <w:sz w:val="28"/>
          <w:szCs w:val="28"/>
          <w:lang w:eastAsia="ar-SA"/>
        </w:rPr>
      </w:pPr>
      <w:r>
        <w:rPr>
          <w:sz w:val="16"/>
          <w:szCs w:val="16"/>
          <w:lang w:eastAsia="ar-SA"/>
        </w:rPr>
        <w:t xml:space="preserve">183038, г. Мурманск, ул.С.Перовской, 3, ИНН 5191500610 КПП 519001001 тел/факс 8 8152  994333 </w:t>
      </w:r>
      <w:r>
        <w:rPr>
          <w:b/>
          <w:sz w:val="16"/>
          <w:szCs w:val="16"/>
          <w:lang w:eastAsia="ar-SA"/>
        </w:rPr>
        <w:t xml:space="preserve">/ </w:t>
      </w:r>
      <w:r>
        <w:rPr>
          <w:sz w:val="16"/>
          <w:szCs w:val="16"/>
          <w:lang w:eastAsia="ar-SA"/>
        </w:rPr>
        <w:t xml:space="preserve">8 8152 994331, </w:t>
      </w:r>
      <w:r>
        <w:rPr>
          <w:sz w:val="16"/>
          <w:szCs w:val="16"/>
          <w:lang w:val="en-US" w:eastAsia="ar-SA"/>
        </w:rPr>
        <w:t>murmansound</w:t>
      </w:r>
      <w:r>
        <w:rPr>
          <w:sz w:val="16"/>
          <w:szCs w:val="16"/>
          <w:lang w:eastAsia="ar-SA"/>
        </w:rPr>
        <w:t>@</w:t>
      </w:r>
      <w:r>
        <w:rPr>
          <w:sz w:val="16"/>
          <w:szCs w:val="16"/>
          <w:lang w:val="en-US" w:eastAsia="ar-SA"/>
        </w:rPr>
        <w:t>mail</w:t>
      </w:r>
      <w:r>
        <w:rPr>
          <w:sz w:val="16"/>
          <w:szCs w:val="16"/>
          <w:lang w:eastAsia="ar-SA"/>
        </w:rPr>
        <w:t>.</w:t>
      </w:r>
      <w:r>
        <w:rPr>
          <w:sz w:val="16"/>
          <w:szCs w:val="16"/>
          <w:lang w:val="en-US" w:eastAsia="ar-SA"/>
        </w:rPr>
        <w:t>ru</w:t>
      </w:r>
    </w:p>
    <w:p>
      <w:pPr>
        <w:pStyle w:val="Normal"/>
        <w:jc w:val="center"/>
        <w:rPr>
          <w:b/>
          <w:bCs/>
          <w:color w:val="000000"/>
          <w:kern w:val="2"/>
          <w:sz w:val="28"/>
          <w:szCs w:val="28"/>
          <w:lang w:eastAsia="ar-SA"/>
        </w:rPr>
      </w:pP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       </w:t>
      </w:r>
    </w:p>
    <w:p>
      <w:pPr>
        <w:pStyle w:val="Normal"/>
        <w:jc w:val="center"/>
        <w:rPr>
          <w:b/>
          <w:bCs/>
          <w:color w:val="000000"/>
          <w:kern w:val="2"/>
          <w:sz w:val="28"/>
          <w:szCs w:val="28"/>
          <w:lang w:eastAsia="ar-SA"/>
        </w:rPr>
      </w:pP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 </w:t>
      </w: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Протокол № 20/2025                                                                    </w:t>
      </w:r>
    </w:p>
    <w:p>
      <w:pPr>
        <w:pStyle w:val="Normal"/>
        <w:rPr>
          <w:rFonts w:eastAsia="Calibri"/>
          <w:b/>
          <w:sz w:val="28"/>
          <w:szCs w:val="28"/>
          <w:lang w:eastAsia="en-US"/>
        </w:rPr>
      </w:pPr>
      <w:r>
        <w:rPr>
          <w:b/>
          <w:bCs/>
          <w:color w:val="000000"/>
          <w:kern w:val="2"/>
          <w:sz w:val="28"/>
          <w:szCs w:val="28"/>
          <w:lang w:eastAsia="ar-SA"/>
        </w:rPr>
        <w:t xml:space="preserve">                                        </w:t>
      </w:r>
      <w:r>
        <w:rPr>
          <w:rFonts w:eastAsia="Calibri"/>
          <w:sz w:val="28"/>
          <w:szCs w:val="28"/>
          <w:lang w:eastAsia="en-US"/>
        </w:rPr>
        <w:t>закупки у единственного поставщика</w:t>
      </w:r>
    </w:p>
    <w:p>
      <w:pPr>
        <w:pStyle w:val="Normal"/>
        <w:jc w:val="center"/>
        <w:rPr>
          <w:rFonts w:eastAsia="Calibri"/>
          <w:b/>
          <w:sz w:val="28"/>
          <w:szCs w:val="28"/>
          <w:lang w:eastAsia="en-US"/>
        </w:rPr>
      </w:pPr>
      <w:r>
        <w:rPr>
          <w:rFonts w:eastAsia="Calibri"/>
          <w:b/>
          <w:sz w:val="28"/>
          <w:szCs w:val="28"/>
          <w:lang w:eastAsia="en-US"/>
        </w:rPr>
      </w:r>
    </w:p>
    <w:p>
      <w:pPr>
        <w:pStyle w:val="Normal"/>
        <w:suppressAutoHyphens w:val="true"/>
        <w:rPr/>
      </w:pPr>
      <w:r>
        <w:rPr>
          <w:u w:val="single"/>
          <w:lang w:eastAsia="ar-SA"/>
        </w:rPr>
        <w:t xml:space="preserve">г. Мурманск, ул. С.Перовской, д.3.                                                                           «03» марта 2025 г. </w:t>
      </w:r>
    </w:p>
    <w:p>
      <w:pPr>
        <w:pStyle w:val="Normal"/>
        <w:rPr>
          <w:b/>
          <w:caps/>
          <w:color w:val="000000"/>
          <w:u w:val="single"/>
          <w:lang w:eastAsia="ar-SA"/>
        </w:rPr>
      </w:pPr>
      <w:r>
        <w:rPr>
          <w:b/>
          <w:caps/>
          <w:color w:val="000000"/>
          <w:u w:val="single"/>
          <w:lang w:eastAsia="ar-SA"/>
        </w:rPr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t>1. Заказчик: ГОАУК «Мурманская областная филармония».</w:t>
      </w:r>
    </w:p>
    <w:p>
      <w:pPr>
        <w:pStyle w:val="Normal"/>
        <w:jc w:val="both"/>
        <w:rPr/>
      </w:pPr>
      <w:r>
        <w:rPr>
          <w:color w:val="000000"/>
        </w:rPr>
        <w:t>2. Способ закупки: Закупка у единственного поставщика (исполнителя, подрядчика).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t xml:space="preserve">3. Обоснование для применения Заказчиком способа закупки: </w:t>
      </w:r>
      <w:r>
        <w:rPr>
          <w:rFonts w:eastAsia="Calibri"/>
          <w:lang w:eastAsia="en-US"/>
        </w:rPr>
        <w:t>Закупка у</w:t>
      </w:r>
      <w:r>
        <w:rPr>
          <w:rFonts w:eastAsia="Calibri"/>
          <w:b/>
          <w:lang w:eastAsia="en-US"/>
        </w:rPr>
        <w:t xml:space="preserve"> </w:t>
      </w:r>
      <w:r>
        <w:rPr>
          <w:rFonts w:eastAsia="Calibri"/>
          <w:lang w:eastAsia="en-US"/>
        </w:rPr>
        <w:t>единственного поставщика (исполнителя, подрядчика) проводится</w:t>
      </w:r>
      <w:r>
        <w:rPr>
          <w:rFonts w:eastAsia="Calibri"/>
          <w:b/>
          <w:lang w:eastAsia="en-US"/>
        </w:rPr>
        <w:t xml:space="preserve"> </w:t>
      </w:r>
      <w:r>
        <w:rPr>
          <w:rFonts w:eastAsia="Calibri"/>
          <w:lang w:eastAsia="en-US"/>
        </w:rPr>
        <w:t>в соответствии с</w:t>
      </w:r>
      <w:r>
        <w:rPr/>
        <w:t xml:space="preserve"> пунктом 10.15 раздела 10 </w:t>
      </w:r>
      <w:r>
        <w:rPr>
          <w:rFonts w:eastAsia="Calibri"/>
          <w:lang w:eastAsia="en-US"/>
        </w:rPr>
        <w:t>Положения о закупке товаров, работ и услуг ГОАУК «Мурманская областная филармония»,</w:t>
      </w:r>
      <w:r>
        <w:rPr/>
        <w:t xml:space="preserve"> утверждённого протоколом Наблюдательного совета ГОАУК «МОФ» № 15 от 25.12.2024г.</w:t>
      </w:r>
    </w:p>
    <w:p>
      <w:pPr>
        <w:pStyle w:val="Normal"/>
        <w:jc w:val="both"/>
        <w:rPr>
          <w:color w:val="000000"/>
        </w:rPr>
      </w:pPr>
      <w:r>
        <w:rPr>
          <w:color w:val="000000"/>
        </w:rPr>
        <w:t>4. Наименование, место нахождения, почтовый адрес, адрес электронной почты, номер телефона Заказчика: Государственное областное автономное учреждение культуры «Мурманская областная филармония» (ГОАУК «МОФ»), 183038, г. Мурманск, ул. С Перовской, д.3, тел.: (8152) 994333; murmansound@mail.ru.</w:t>
      </w:r>
    </w:p>
    <w:p>
      <w:pPr>
        <w:pStyle w:val="Normal"/>
        <w:suppressAutoHyphens w:val="true"/>
        <w:jc w:val="both"/>
        <w:rPr>
          <w:bCs/>
          <w:color w:val="000000"/>
        </w:rPr>
      </w:pPr>
      <w:r>
        <w:rPr>
          <w:color w:val="000000"/>
        </w:rPr>
        <w:t>5. Предмет договора с указанием количества поставляемого товара, объема выполняемых работ, оказываемых услуг: Организация и проведение концерта «Музыка для гурманов».</w:t>
      </w:r>
      <w:r>
        <w:rPr>
          <w:bCs/>
          <w:color w:val="000000"/>
          <w:lang w:eastAsia="ar-SA"/>
        </w:rPr>
        <w:t xml:space="preserve"> </w:t>
      </w:r>
      <w:r>
        <w:rPr>
          <w:bCs/>
          <w:color w:val="000000"/>
        </w:rPr>
        <w:t>Количество - 1 (одна) условная единица.</w:t>
      </w:r>
    </w:p>
    <w:p>
      <w:pPr>
        <w:pStyle w:val="Normal"/>
        <w:jc w:val="both"/>
        <w:rPr>
          <w:lang w:eastAsia="ar-SA"/>
        </w:rPr>
      </w:pPr>
      <w:r>
        <w:rPr>
          <w:lang w:eastAsia="ar-SA"/>
        </w:rPr>
        <w:t>6. Сведения о цене договора и срок исполнения договора: 326 100,00 (триста двадцать шесть тысяч сто) рублей 00 копеек, НДС не облагается; 30.04.2025 года.</w:t>
      </w:r>
    </w:p>
    <w:p>
      <w:pPr>
        <w:pStyle w:val="Normal"/>
        <w:jc w:val="both"/>
        <w:rPr/>
      </w:pPr>
      <w:r>
        <w:rPr>
          <w:lang w:eastAsia="ar-SA"/>
        </w:rPr>
        <w:t xml:space="preserve">7. Наименование, фирменное наименование (при наличии), сведения о месте нахождения (для юридического лица), фамилия, имя, отчество (при наличии), сведения о месте регистрации (для физического лица) поставщика (исполнителя, подрядчика), с которым заключается договор: </w:t>
      </w:r>
      <w:r>
        <w:rPr>
          <w:color w:val="000000"/>
          <w:lang w:eastAsia="ar-SA"/>
        </w:rPr>
        <w:t xml:space="preserve">ИП Шамаева Полина Юрьевна, </w:t>
      </w:r>
      <w:r>
        <w:rPr>
          <w:lang w:eastAsia="ar-SA"/>
        </w:rPr>
        <w:t xml:space="preserve">ОГРНИП 318774600193867, ИНН 366110806739, </w:t>
      </w:r>
      <w:r>
        <w:rPr>
          <w:rFonts w:eastAsia="NSimSun"/>
          <w:kern w:val="2"/>
        </w:rPr>
        <w:t>109125 г. Москва, пр-т Волгоградский, д.55, кв.38</w:t>
      </w:r>
      <w:r>
        <w:rPr>
          <w:color w:val="000000"/>
        </w:rPr>
        <w:t>.</w:t>
      </w:r>
    </w:p>
    <w:p>
      <w:pPr>
        <w:pStyle w:val="Style15"/>
        <w:shd w:fill="FFFFFF" w:val="clear"/>
        <w:jc w:val="both"/>
        <w:rPr/>
      </w:pPr>
      <w:r>
        <w:rPr>
          <w:lang w:eastAsia="ar-SA"/>
        </w:rPr>
        <w:t xml:space="preserve">Формирование и публикация протокола осуществлялась комиссией, правомочной на осуществление своей функции. На заседании комиссии по проведению закупки у единственного поставщика присутствовали 5 (пять) членов комиссии из 5 (пяти) членов комиссии:     </w:t>
      </w:r>
    </w:p>
    <w:p>
      <w:pPr>
        <w:pStyle w:val="Normal"/>
        <w:rPr>
          <w:lang w:eastAsia="ar-SA"/>
        </w:rPr>
      </w:pPr>
      <w:r>
        <w:rPr>
          <w:lang w:eastAsia="ar-SA"/>
        </w:rPr>
        <w:t>Председатель комиссии: Демичев В. Л.</w:t>
      </w:r>
    </w:p>
    <w:p>
      <w:pPr>
        <w:pStyle w:val="Normal"/>
        <w:rPr>
          <w:lang w:eastAsia="ar-SA"/>
        </w:rPr>
      </w:pPr>
      <w:r>
        <w:rPr>
          <w:lang w:eastAsia="ar-SA"/>
        </w:rPr>
        <w:t>Члены комиссии:             Альбиковская О.А</w:t>
      </w:r>
    </w:p>
    <w:p>
      <w:pPr>
        <w:pStyle w:val="Normal"/>
        <w:rPr>
          <w:lang w:eastAsia="ar-SA"/>
        </w:rPr>
      </w:pPr>
      <w:r>
        <w:rPr>
          <w:lang w:eastAsia="ar-SA"/>
        </w:rPr>
        <w:t xml:space="preserve">                                           </w:t>
      </w:r>
      <w:r>
        <w:rPr>
          <w:lang w:eastAsia="ar-SA"/>
        </w:rPr>
        <w:t>Сыроватко Н.В.</w:t>
      </w:r>
    </w:p>
    <w:p>
      <w:pPr>
        <w:pStyle w:val="Normal"/>
        <w:rPr>
          <w:lang w:eastAsia="ar-SA"/>
        </w:rPr>
      </w:pPr>
      <w:r>
        <w:rPr>
          <w:lang w:eastAsia="ar-SA"/>
        </w:rPr>
        <w:t xml:space="preserve">                                           </w:t>
      </w:r>
      <w:r>
        <w:rPr>
          <w:lang w:eastAsia="ar-SA"/>
        </w:rPr>
        <w:t>Ермоленко Е.А.</w:t>
      </w:r>
    </w:p>
    <w:p>
      <w:pPr>
        <w:pStyle w:val="Normal"/>
        <w:rPr>
          <w:lang w:eastAsia="ar-SA"/>
        </w:rPr>
      </w:pPr>
      <w:r>
        <w:rPr>
          <w:lang w:eastAsia="ar-SA"/>
        </w:rPr>
        <w:t>Секретарь комиссии:       Кароткая Е.Г.</w:t>
      </w:r>
    </w:p>
    <w:p>
      <w:pPr>
        <w:pStyle w:val="Normal"/>
        <w:rPr>
          <w:lang w:eastAsia="ar-SA"/>
        </w:rPr>
      </w:pPr>
      <w:r>
        <w:rPr>
          <w:lang w:eastAsia="ar-SA"/>
        </w:rPr>
        <w:t>Кворум имеется, заседание комиссии правомочно.</w:t>
      </w:r>
    </w:p>
    <w:p>
      <w:pPr>
        <w:pStyle w:val="Normal"/>
        <w:rPr>
          <w:rFonts w:eastAsia="Calibri"/>
          <w:lang w:eastAsia="en-US"/>
        </w:rPr>
      </w:pPr>
      <w:r>
        <w:rPr>
          <w:rFonts w:eastAsia="Calibri"/>
          <w:lang w:eastAsia="en-US"/>
        </w:rPr>
        <w:t>Протокол закупки у единственного поставщика подписан всеми присутствующими на заседании членами комиссии.</w:t>
      </w:r>
    </w:p>
    <w:tbl>
      <w:tblPr>
        <w:tblW w:w="10485" w:type="dxa"/>
        <w:jc w:val="start"/>
        <w:tblInd w:w="5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413"/>
        <w:gridCol w:w="1215"/>
        <w:gridCol w:w="5832"/>
        <w:gridCol w:w="25"/>
      </w:tblGrid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lang w:eastAsia="ar-SA"/>
              </w:rPr>
            </w:pPr>
            <w:r>
              <w:rPr>
                <w:lang w:eastAsia="ar-SA"/>
              </w:rPr>
              <w:t>Председатель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lang w:eastAsia="ar-SA"/>
              </w:rPr>
              <w:t xml:space="preserve">                                                                    </w:t>
            </w:r>
            <w:r>
              <w:rPr>
                <w:lang w:eastAsia="ar-SA"/>
              </w:rPr>
              <w:t>/Демичев В.Л./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lang w:eastAsia="ar-SA"/>
              </w:rPr>
            </w:pPr>
            <w:r>
              <w:rPr>
                <w:lang w:eastAsia="ar-SA"/>
              </w:rPr>
              <w:t>Член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                                                                    </w:t>
            </w:r>
            <w:r>
              <w:rPr>
                <w:lang w:eastAsia="ar-SA"/>
              </w:rPr>
              <w:t>/Альбиковская О.А./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>Член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rPr/>
            </w:pPr>
            <w:r>
              <w:rPr/>
              <w:t xml:space="preserve">                                                                    </w:t>
            </w:r>
            <w:r>
              <w:rPr/>
              <w:t>/Сыроватко Н.В./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lang w:eastAsia="ar-SA"/>
              </w:rPr>
            </w:pPr>
            <w:r>
              <w:rPr>
                <w:lang w:eastAsia="ar-SA"/>
              </w:rPr>
              <w:t>Член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/>
            </w:pPr>
            <w:r>
              <w:rPr>
                <w:lang w:eastAsia="ar-SA"/>
              </w:rPr>
              <w:t xml:space="preserve">                                                                   </w:t>
            </w:r>
            <w:r>
              <w:rPr>
                <w:lang w:eastAsia="ar-SA"/>
              </w:rPr>
              <w:t>/Ермоленко Е.А./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/>
        <w:tc>
          <w:tcPr>
            <w:tcW w:w="34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rPr>
                <w:lang w:eastAsia="ar-SA"/>
              </w:rPr>
            </w:pPr>
            <w:r>
              <w:rPr>
                <w:lang w:eastAsia="ar-SA"/>
              </w:rPr>
              <w:t>Секретарь комиссии</w:t>
            </w:r>
          </w:p>
        </w:tc>
        <w:tc>
          <w:tcPr>
            <w:tcW w:w="7047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Normal"/>
              <w:suppressAutoHyphens w:val="true"/>
              <w:jc w:val="both"/>
              <w:rPr>
                <w:lang w:eastAsia="ar-SA"/>
              </w:rPr>
            </w:pPr>
            <w:r>
              <w:rPr>
                <w:lang w:eastAsia="ar-SA"/>
              </w:rPr>
              <w:t xml:space="preserve">                                                                   </w:t>
            </w:r>
            <w:r>
              <w:rPr>
                <w:lang w:eastAsia="ar-SA"/>
              </w:rPr>
              <w:t>/Кароткая Е.Г./</w:t>
            </w:r>
          </w:p>
        </w:tc>
        <w:tc>
          <w:tcPr>
            <w:tcW w:w="25" w:type="dxa"/>
            <w:tcBorders>
              <w:start w:val="single" w:sz="4" w:space="0" w:color="000000"/>
            </w:tcBorders>
          </w:tcPr>
          <w:p>
            <w:pPr>
              <w:pStyle w:val="Normal"/>
              <w:suppressAutoHyphens w:val="true"/>
              <w:snapToGrid w:val="false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</w:tr>
      <w:tr>
        <w:trPr>
          <w:trHeight w:val="441" w:hRule="atLeast"/>
        </w:trPr>
        <w:tc>
          <w:tcPr>
            <w:tcW w:w="4628" w:type="dxa"/>
            <w:gridSpan w:val="2"/>
            <w:tcBorders/>
          </w:tcPr>
          <w:p>
            <w:pPr>
              <w:pStyle w:val="Normal"/>
              <w:suppressAutoHyphens w:val="true"/>
              <w:snapToGrid w:val="false"/>
              <w:jc w:val="both"/>
              <w:rPr>
                <w:lang w:eastAsia="ar-SA"/>
              </w:rPr>
            </w:pPr>
            <w:r>
              <w:rPr>
                <w:lang w:eastAsia="ar-SA"/>
              </w:rPr>
            </w:r>
          </w:p>
        </w:tc>
        <w:tc>
          <w:tcPr>
            <w:tcW w:w="5857" w:type="dxa"/>
            <w:gridSpan w:val="2"/>
            <w:tcBorders/>
          </w:tcPr>
          <w:p>
            <w:pPr>
              <w:pStyle w:val="Normal"/>
              <w:suppressAutoHyphens w:val="true"/>
              <w:snapToGrid w:val="false"/>
              <w:rPr>
                <w:i/>
                <w:i/>
                <w:lang w:eastAsia="ar-SA"/>
              </w:rPr>
            </w:pPr>
            <w:r>
              <w:rPr>
                <w:i/>
                <w:lang w:eastAsia="ar-SA"/>
              </w:rPr>
            </w:r>
          </w:p>
        </w:tc>
      </w:tr>
    </w:tbl>
    <w:p>
      <w:pPr>
        <w:pStyle w:val="Normal"/>
        <w:rPr/>
      </w:pPr>
      <w:r>
        <w:rPr/>
      </w:r>
    </w:p>
    <w:sectPr>
      <w:type w:val="nextPage"/>
      <w:pgSz w:w="11906" w:h="16838"/>
      <w:pgMar w:left="851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cc" w:characterSet="windows-1251"/>
    <w:family w:val="roman"/>
    <w:pitch w:val="variable"/>
  </w:font>
  <w:font w:name="Segoe UI">
    <w:charset w:val="cc" w:characterSet="windows-1251"/>
    <w:family w:val="swiss"/>
    <w:pitch w:val="variable"/>
  </w:font>
  <w:font w:name="Liberation Sans">
    <w:altName w:val="Arial"/>
    <w:charset w:val="01" w:characterSet="utf-8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ru-RU" w:bidi="ar-SA" w:eastAsia="zh-CN"/>
    </w:rPr>
  </w:style>
  <w:style w:type="paragraph" w:styleId="Heading3">
    <w:name w:val="heading 3"/>
    <w:basedOn w:val="Normal"/>
    <w:next w:val="BodyText"/>
    <w:qFormat/>
    <w:pPr>
      <w:numPr>
        <w:ilvl w:val="2"/>
        <w:numId w:val="1"/>
      </w:numPr>
      <w:spacing w:before="280" w:after="280"/>
      <w:outlineLvl w:val="2"/>
    </w:pPr>
    <w:rPr>
      <w:b/>
      <w:bCs/>
      <w:sz w:val="27"/>
      <w:szCs w:val="27"/>
    </w:rPr>
  </w:style>
  <w:style w:type="character" w:styleId="Style13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3">
    <w:name w:val="Заголовок 3 Знак"/>
    <w:qFormat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yle14">
    <w:name w:val="Текст выноски Знак"/>
    <w:qFormat/>
    <w:rPr>
      <w:rFonts w:ascii="Segoe UI" w:hAnsi="Segoe UI" w:eastAsia="Times New Roman" w:cs="Segoe UI"/>
      <w:sz w:val="18"/>
      <w:szCs w:val="18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1">
    <w:name w:val="Обычный1"/>
    <w:qFormat/>
    <w:pPr>
      <w:widowControl w:val="false"/>
      <w:bidi w:val="0"/>
      <w:snapToGrid w:val="false"/>
      <w:spacing w:lineRule="auto" w:line="300"/>
      <w:ind w:firstLine="680" w:start="80" w:end="0"/>
      <w:jc w:val="both"/>
    </w:pPr>
    <w:rPr>
      <w:rFonts w:ascii="Times New Roman" w:hAnsi="Times New Roman" w:eastAsia="Times New Roman" w:cs="Times New Roman"/>
      <w:color w:val="auto"/>
      <w:sz w:val="32"/>
      <w:szCs w:val="20"/>
      <w:lang w:val="ru-RU" w:bidi="ar-SA" w:eastAsia="zh-CN"/>
    </w:rPr>
  </w:style>
  <w:style w:type="paragraph" w:styleId="Style15">
    <w:name w:val="Обычный (веб)"/>
    <w:basedOn w:val="Normal"/>
    <w:qFormat/>
    <w:pPr>
      <w:spacing w:before="280" w:after="280"/>
    </w:pPr>
    <w:rPr/>
  </w:style>
  <w:style w:type="paragraph" w:styleId="Style16">
    <w:name w:val="Абзац списка"/>
    <w:basedOn w:val="Normal"/>
    <w:qFormat/>
    <w:pPr>
      <w:spacing w:before="0" w:after="0"/>
      <w:ind w:hanging="0" w:start="720" w:end="0"/>
      <w:contextualSpacing/>
    </w:pPr>
    <w:rPr/>
  </w:style>
  <w:style w:type="paragraph" w:styleId="offset251">
    <w:name w:val="offset251"/>
    <w:basedOn w:val="Normal"/>
    <w:qFormat/>
    <w:pPr>
      <w:spacing w:before="280" w:after="280"/>
      <w:ind w:hanging="0" w:start="364" w:end="0"/>
    </w:pPr>
    <w:rPr/>
  </w:style>
  <w:style w:type="paragraph" w:styleId="Style17">
    <w:name w:val="Текст выноски"/>
    <w:basedOn w:val="Normal"/>
    <w:qFormat/>
    <w:pPr/>
    <w:rPr>
      <w:rFonts w:ascii="Segoe UI" w:hAnsi="Segoe UI" w:cs="Segoe UI"/>
      <w:sz w:val="18"/>
      <w:szCs w:val="18"/>
    </w:rPr>
  </w:style>
  <w:style w:type="paragraph" w:styleId="22">
    <w:name w:val="Основной текст 22"/>
    <w:qFormat/>
    <w:pPr>
      <w:widowControl/>
      <w:bidi w:val="0"/>
      <w:spacing w:before="0" w:after="120"/>
      <w:ind w:hanging="0" w:start="283" w:end="0"/>
    </w:pPr>
    <w:rPr>
      <w:rFonts w:ascii="Times New Roman" w:hAnsi="Times New Roman" w:eastAsia="ヒラギノ角ゴ Pro W3;Arial Unicode MS" w:cs="Times New Roman"/>
      <w:color w:val="000000"/>
      <w:sz w:val="24"/>
      <w:szCs w:val="20"/>
      <w:lang w:val="ru-RU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2025-02-28T07:20:00Z</dcterms:created>
  <dc:creator>Владимир</dc:creator>
  <dc:description/>
  <cp:keywords/>
  <dc:language>en-US</dc:language>
  <cp:lastModifiedBy>user</cp:lastModifiedBy>
  <cp:lastPrinted>2023-08-01T10:35:00Z</cp:lastPrinted>
  <dcterms:modified xsi:type="dcterms:W3CDTF">2025-03-03T08:02:00Z</dcterms:modified>
  <cp:revision>4</cp:revision>
  <dc:subject/>
  <dc:title/>
</cp:coreProperties>
</file>