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hanging="0" w:start="0"/>
        <w:jc w:val="center"/>
        <w:rPr>
          <w:rFonts w:ascii="Times New Roman" w:hAnsi="Times New Roman" w:cs="Times New Roman"/>
          <w:b w:val="false"/>
          <w:sz w:val="22"/>
          <w:szCs w:val="22"/>
        </w:rPr>
      </w:pPr>
      <w:r>
        <w:rPr>
          <w:rFonts w:cs="Times New Roman" w:ascii="Times New Roman" w:hAnsi="Times New Roman"/>
          <w:b w:val="false"/>
          <w:sz w:val="22"/>
          <w:szCs w:val="22"/>
        </w:rPr>
      </w:r>
    </w:p>
    <w:p>
      <w:pPr>
        <w:pStyle w:val="Heading1"/>
        <w:spacing w:before="0" w:after="0"/>
        <w:ind w:hanging="0" w:start="0"/>
        <w:jc w:val="center"/>
        <w:rPr>
          <w:rFonts w:ascii="Times New Roman" w:hAnsi="Times New Roman" w:cs="Times New Roman"/>
          <w:b w:val="false"/>
          <w:sz w:val="22"/>
          <w:szCs w:val="22"/>
        </w:rPr>
      </w:pPr>
      <w:r>
        <w:rPr>
          <w:rFonts w:cs="Times New Roman" w:ascii="Times New Roman" w:hAnsi="Times New Roman"/>
          <w:b w:val="false"/>
          <w:sz w:val="22"/>
          <w:szCs w:val="22"/>
        </w:rPr>
        <w:t xml:space="preserve">Протокол № </w:t>
      </w:r>
      <w:r>
        <w:rPr>
          <w:rFonts w:cs="Times New Roman" w:ascii="Times New Roman" w:hAnsi="Times New Roman"/>
          <w:b w:val="false"/>
          <w:iCs/>
          <w:sz w:val="22"/>
          <w:szCs w:val="22"/>
        </w:rPr>
        <w:t>32514536447</w:t>
      </w:r>
      <w:r>
        <w:rPr>
          <w:rFonts w:cs="Times New Roman" w:ascii="Times New Roman" w:hAnsi="Times New Roman"/>
          <w:b w:val="false"/>
          <w:sz w:val="22"/>
          <w:szCs w:val="22"/>
        </w:rPr>
        <w:t>-01</w:t>
      </w:r>
    </w:p>
    <w:p>
      <w:pPr>
        <w:pStyle w:val="Heading1"/>
        <w:spacing w:before="0" w:after="0"/>
        <w:ind w:hanging="0" w:start="0"/>
        <w:jc w:val="center"/>
        <w:rPr>
          <w:sz w:val="22"/>
          <w:szCs w:val="22"/>
        </w:rPr>
      </w:pPr>
      <w:r>
        <w:rPr>
          <w:rFonts w:cs="Times New Roman" w:ascii="Times New Roman" w:hAnsi="Times New Roman"/>
          <w:b w:val="false"/>
          <w:sz w:val="22"/>
          <w:szCs w:val="22"/>
        </w:rPr>
        <w:t>по рассмотрению заявок на участие в запросе котировок в электронной форме</w:t>
      </w:r>
      <w:r>
        <w:rPr>
          <w:rFonts w:cs="Times New Roman" w:ascii="Times New Roman" w:hAnsi="Times New Roman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b w:val="false"/>
          <w:kern w:val="0"/>
          <w:sz w:val="22"/>
          <w:szCs w:val="22"/>
        </w:rPr>
        <w:t>и</w:t>
      </w:r>
      <w:r>
        <w:rPr>
          <w:rFonts w:cs="Times New Roman" w:ascii="Times New Roman" w:hAnsi="Times New Roman"/>
          <w:kern w:val="0"/>
          <w:sz w:val="22"/>
          <w:szCs w:val="22"/>
        </w:rPr>
        <w:t xml:space="preserve"> </w:t>
      </w:r>
      <w:r>
        <w:rPr>
          <w:rFonts w:cs="Times New Roman" w:ascii="Times New Roman" w:hAnsi="Times New Roman"/>
          <w:b w:val="false"/>
          <w:sz w:val="22"/>
          <w:szCs w:val="22"/>
        </w:rPr>
        <w:t xml:space="preserve">подведению итогов закупки 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420012, г. Казань, ул. Достоевского, д. 18/75                                                      03 марта 2025 г., 08 час. 00 мин.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Присутствуют: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4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199"/>
        <w:gridCol w:w="239"/>
      </w:tblGrid>
      <w:tr>
        <w:trPr>
          <w:trHeight w:val="1311" w:hRule="atLeast"/>
        </w:trPr>
        <w:tc>
          <w:tcPr>
            <w:tcW w:w="10199" w:type="dxa"/>
            <w:tcBorders/>
          </w:tcPr>
          <w:tbl>
            <w:tblPr>
              <w:tblW w:w="10172" w:type="dxa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35"/>
              <w:gridCol w:w="7937"/>
            </w:tblGrid>
            <w:tr>
              <w:trPr>
                <w:trHeight w:val="1358" w:hRule="atLeast"/>
              </w:trPr>
              <w:tc>
                <w:tcPr>
                  <w:tcW w:w="2235" w:type="dxa"/>
                  <w:tcBorders/>
                </w:tcPr>
                <w:p>
                  <w:pPr>
                    <w:pStyle w:val="Normal"/>
                    <w:spacing w:lineRule="auto" w:line="276"/>
                    <w:ind w:start="-108" w:end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Сабиров И.З.</w:t>
                  </w:r>
                </w:p>
                <w:p>
                  <w:pPr>
                    <w:pStyle w:val="Normal"/>
                    <w:spacing w:lineRule="auto" w:line="276"/>
                    <w:ind w:start="-108" w:end="0"/>
                    <w:rPr/>
                  </w:pPr>
                  <w:r>
                    <w:rPr>
                      <w:sz w:val="22"/>
                      <w:szCs w:val="22"/>
                    </w:rPr>
                    <w:t>Файзуллин Р.А.</w:t>
                  </w:r>
                </w:p>
                <w:p>
                  <w:pPr>
                    <w:pStyle w:val="Normal"/>
                    <w:spacing w:lineRule="auto" w:line="276"/>
                    <w:ind w:start="-108" w:end="0"/>
                    <w:rPr/>
                  </w:pPr>
                  <w:r>
                    <w:rPr>
                      <w:sz w:val="22"/>
                      <w:szCs w:val="22"/>
                    </w:rPr>
                    <w:t>Ушанов В.А.</w:t>
                  </w:r>
                </w:p>
                <w:p>
                  <w:pPr>
                    <w:pStyle w:val="Normal"/>
                    <w:spacing w:lineRule="auto" w:line="276"/>
                    <w:ind w:start="-108" w:end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Галимова Г.Ш.</w:t>
                  </w:r>
                </w:p>
              </w:tc>
              <w:tc>
                <w:tcPr>
                  <w:tcW w:w="7937" w:type="dxa"/>
                  <w:tcBorders/>
                </w:tcPr>
                <w:p>
                  <w:pPr>
                    <w:pStyle w:val="Normal"/>
                    <w:spacing w:lineRule="auto" w:line="276"/>
                    <w:ind w:start="-108" w:end="0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Член конкурсной комиссии АО «Татавтодор»</w:t>
                  </w:r>
                </w:p>
                <w:p>
                  <w:pPr>
                    <w:pStyle w:val="Normal"/>
                    <w:spacing w:lineRule="auto" w:line="276"/>
                    <w:ind w:start="-108" w:end="0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Член конкурсной комиссии АО «Татавтодор»</w:t>
                  </w:r>
                </w:p>
                <w:p>
                  <w:pPr>
                    <w:pStyle w:val="Normal"/>
                    <w:spacing w:lineRule="auto" w:line="276"/>
                    <w:ind w:start="-108" w:end="0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Член конкурсной комиссии АО «Татавтодор»</w:t>
                  </w:r>
                </w:p>
                <w:p>
                  <w:pPr>
                    <w:pStyle w:val="Normal"/>
                    <w:spacing w:lineRule="auto" w:line="276"/>
                    <w:ind w:start="-108" w:end="0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Секретарь конкурсной комиссии АО «Татавтодор» (без права голоса)</w:t>
                  </w:r>
                </w:p>
                <w:p>
                  <w:pPr>
                    <w:pStyle w:val="Normal"/>
                    <w:spacing w:lineRule="auto" w:line="276"/>
                    <w:ind w:start="-108" w:end="0"/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</w:r>
                </w:p>
              </w:tc>
            </w:tr>
          </w:tbl>
          <w:p>
            <w:pPr>
              <w:pStyle w:val="Normal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spacing w:lineRule="auto" w:line="27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08"/>
          <w:tab w:val="left" w:pos="284" w:leader="none"/>
        </w:tabs>
        <w:spacing w:lineRule="auto" w:line="276"/>
        <w:ind w:hanging="2204" w:start="2204" w:end="0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закупке.</w:t>
      </w:r>
    </w:p>
    <w:p>
      <w:pPr>
        <w:pStyle w:val="Normal"/>
        <w:numPr>
          <w:ilvl w:val="1"/>
          <w:numId w:val="3"/>
        </w:numPr>
        <w:tabs>
          <w:tab w:val="clear" w:pos="708"/>
          <w:tab w:val="left" w:pos="284" w:leader="none"/>
        </w:tabs>
        <w:spacing w:lineRule="auto" w:line="276"/>
        <w:ind w:hanging="426" w:start="426" w:end="0"/>
        <w:jc w:val="both"/>
        <w:rPr>
          <w:sz w:val="22"/>
          <w:szCs w:val="22"/>
        </w:rPr>
      </w:pPr>
      <w:r>
        <w:rPr>
          <w:sz w:val="22"/>
          <w:szCs w:val="22"/>
        </w:rPr>
        <w:t>Заказчик: Акционерное общество «Татавтодор».</w:t>
      </w:r>
    </w:p>
    <w:p>
      <w:pPr>
        <w:pStyle w:val="Normal"/>
        <w:numPr>
          <w:ilvl w:val="1"/>
          <w:numId w:val="3"/>
        </w:numPr>
        <w:tabs>
          <w:tab w:val="clear" w:pos="708"/>
          <w:tab w:val="left" w:pos="284" w:leader="none"/>
          <w:tab w:val="left" w:pos="426" w:leader="none"/>
        </w:tabs>
        <w:spacing w:lineRule="auto" w:line="276"/>
        <w:ind w:hanging="0" w:start="0" w:end="0"/>
        <w:jc w:val="both"/>
        <w:rPr>
          <w:sz w:val="22"/>
          <w:szCs w:val="22"/>
        </w:rPr>
      </w:pPr>
      <w:r>
        <w:rPr>
          <w:sz w:val="22"/>
          <w:szCs w:val="22"/>
        </w:rPr>
        <w:t>Способ закупки: запрос котировок</w:t>
      </w:r>
      <w:r>
        <w:rPr>
          <w:iCs/>
          <w:sz w:val="22"/>
          <w:szCs w:val="22"/>
        </w:rPr>
        <w:t xml:space="preserve"> в электронной форме</w:t>
      </w:r>
      <w:r>
        <w:rPr>
          <w:sz w:val="22"/>
          <w:szCs w:val="22"/>
        </w:rPr>
        <w:t xml:space="preserve"> №</w:t>
      </w:r>
      <w:r>
        <w:rPr>
          <w:b/>
          <w:sz w:val="22"/>
          <w:szCs w:val="22"/>
        </w:rPr>
        <w:t xml:space="preserve"> </w:t>
      </w:r>
      <w:r>
        <w:rPr>
          <w:iCs/>
          <w:sz w:val="22"/>
          <w:szCs w:val="22"/>
        </w:rPr>
        <w:t>32514536447 (далее также «закупка», «запрос котировок»)</w:t>
      </w:r>
      <w:r>
        <w:rPr>
          <w:sz w:val="22"/>
          <w:szCs w:val="22"/>
        </w:rPr>
        <w:t>.</w:t>
      </w:r>
    </w:p>
    <w:p>
      <w:pPr>
        <w:pStyle w:val="Normal"/>
        <w:numPr>
          <w:ilvl w:val="1"/>
          <w:numId w:val="3"/>
        </w:numPr>
        <w:shd w:fill="FFFFFF" w:val="clear"/>
        <w:tabs>
          <w:tab w:val="clear" w:pos="708"/>
          <w:tab w:val="left" w:pos="442" w:leader="none"/>
        </w:tabs>
        <w:spacing w:lineRule="auto" w:line="276"/>
        <w:ind w:hanging="0" w:start="0" w:end="0"/>
        <w:jc w:val="both"/>
        <w:rPr>
          <w:bCs/>
          <w:iCs/>
          <w:sz w:val="22"/>
          <w:szCs w:val="22"/>
        </w:rPr>
      </w:pPr>
      <w:r>
        <w:rPr>
          <w:sz w:val="22"/>
          <w:szCs w:val="22"/>
        </w:rPr>
        <w:t>Предмет закупки: «</w:t>
      </w:r>
      <w:r>
        <w:rPr>
          <w:bCs/>
          <w:iCs/>
          <w:sz w:val="22"/>
          <w:szCs w:val="22"/>
        </w:rPr>
        <w:t>Поставка пиломатериалов в соответствии с техническим заданием</w:t>
      </w:r>
      <w:r>
        <w:rPr>
          <w:kern w:val="2"/>
          <w:sz w:val="22"/>
          <w:szCs w:val="22"/>
        </w:rPr>
        <w:t>».</w:t>
      </w:r>
    </w:p>
    <w:p>
      <w:pPr>
        <w:pStyle w:val="Style21"/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  <w:t>1.4. Сведения о начальной (максимальной) цене договора:</w:t>
      </w:r>
      <w:r>
        <w:rPr>
          <w:rFonts w:eastAsia="Times New Roman"/>
          <w:bCs/>
          <w:kern w:val="0"/>
          <w:sz w:val="22"/>
          <w:szCs w:val="22"/>
        </w:rPr>
        <w:t xml:space="preserve"> </w:t>
      </w:r>
      <w:r>
        <w:rPr>
          <w:bCs/>
          <w:iCs/>
          <w:sz w:val="22"/>
          <w:szCs w:val="22"/>
        </w:rPr>
        <w:t>6 991 589,51 рублей с учетом всех налогов и сборов</w:t>
      </w:r>
      <w:r>
        <w:rPr>
          <w:sz w:val="22"/>
          <w:szCs w:val="22"/>
        </w:rPr>
        <w:t>.</w:t>
      </w:r>
    </w:p>
    <w:p>
      <w:pPr>
        <w:pStyle w:val="Style21"/>
        <w:spacing w:lineRule="auto" w:line="276"/>
        <w:jc w:val="both"/>
        <w:rPr>
          <w:rFonts w:eastAsia="Calibri"/>
          <w:bCs/>
          <w:iCs/>
          <w:sz w:val="22"/>
          <w:szCs w:val="22"/>
        </w:rPr>
      </w:pPr>
      <w:r>
        <w:rPr>
          <w:rFonts w:eastAsia="Calibri"/>
          <w:sz w:val="22"/>
          <w:szCs w:val="22"/>
        </w:rPr>
        <w:t xml:space="preserve">1.5. Количество поставляемого товара: </w:t>
      </w:r>
      <w:r>
        <w:rPr>
          <w:rFonts w:eastAsia="Calibri"/>
          <w:bCs/>
          <w:iCs/>
          <w:sz w:val="22"/>
          <w:szCs w:val="22"/>
        </w:rPr>
        <w:t>в соответствии с пунктом 6 технического задания (Часть 3 документации о закупке).</w:t>
      </w:r>
    </w:p>
    <w:p>
      <w:pPr>
        <w:pStyle w:val="Style21"/>
        <w:spacing w:lineRule="auto" w:line="276"/>
        <w:jc w:val="both"/>
        <w:rPr/>
      </w:pPr>
      <w:r>
        <w:rPr>
          <w:sz w:val="22"/>
          <w:szCs w:val="22"/>
        </w:rPr>
        <w:t xml:space="preserve">1.6. Срок исполнения договора: </w:t>
      </w:r>
    </w:p>
    <w:p>
      <w:pPr>
        <w:pStyle w:val="Style21"/>
        <w:spacing w:lineRule="auto" w:line="276"/>
        <w:jc w:val="both"/>
        <w:rPr>
          <w:bCs/>
          <w:iCs/>
          <w:sz w:val="22"/>
          <w:szCs w:val="22"/>
        </w:rPr>
      </w:pPr>
      <w:r>
        <w:rPr>
          <w:sz w:val="22"/>
          <w:szCs w:val="22"/>
        </w:rPr>
        <w:t xml:space="preserve">1.6.1. Срок поставки товара: </w:t>
      </w:r>
      <w:r>
        <w:rPr>
          <w:bCs/>
          <w:iCs/>
          <w:sz w:val="22"/>
          <w:szCs w:val="22"/>
        </w:rPr>
        <w:t>со дня подписания договора по 31 декабря 2026 года отдельными партиями по заявкам Заказчика. Срок поставки отдельной партии товара: в течение 10 календарных дней со дня получения заявки Заказчика.</w:t>
      </w:r>
    </w:p>
    <w:p>
      <w:pPr>
        <w:pStyle w:val="Normal"/>
        <w:widowControl w:val="false"/>
        <w:tabs>
          <w:tab w:val="clear" w:pos="708"/>
          <w:tab w:val="left" w:pos="0" w:leader="none"/>
        </w:tabs>
        <w:autoSpaceDE w:val="false"/>
        <w:spacing w:lineRule="auto" w:line="276"/>
        <w:jc w:val="both"/>
        <w:rPr/>
      </w:pPr>
      <w:r>
        <w:rPr>
          <w:sz w:val="22"/>
          <w:szCs w:val="22"/>
        </w:rPr>
        <w:t xml:space="preserve">1.6.2. Срок действия договора: </w:t>
      </w:r>
      <w:r>
        <w:rPr>
          <w:bCs/>
          <w:iCs/>
          <w:sz w:val="22"/>
          <w:szCs w:val="22"/>
        </w:rPr>
        <w:t>31 декабря 2026 года, а в части взаиморасчетов – до полного исполнения сторонами своих обязательств</w:t>
      </w:r>
      <w:r>
        <w:rPr>
          <w:sz w:val="22"/>
          <w:szCs w:val="22"/>
        </w:rPr>
        <w:t>.</w:t>
      </w:r>
    </w:p>
    <w:p>
      <w:pPr>
        <w:pStyle w:val="Normal"/>
        <w:spacing w:lineRule="auto" w:line="276"/>
        <w:jc w:val="both"/>
        <w:rPr/>
      </w:pPr>
      <w:r>
        <w:rPr>
          <w:sz w:val="22"/>
          <w:szCs w:val="22"/>
        </w:rPr>
        <w:t>1.7. Закупка размещена на официальном сайте Единой информационной системы в сфере закупок http://www.zakupki.gov.ru/ и на электронной площадки www.rts-tender.ru.</w:t>
      </w:r>
    </w:p>
    <w:p>
      <w:pPr>
        <w:pStyle w:val="Style21"/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1"/>
        <w:spacing w:lineRule="auto" w:line="276"/>
        <w:jc w:val="both"/>
        <w:rPr/>
      </w:pPr>
      <w:r>
        <w:rPr>
          <w:sz w:val="22"/>
          <w:szCs w:val="22"/>
        </w:rPr>
        <w:t>2</w:t>
      </w:r>
      <w:r>
        <w:rPr/>
        <w:t xml:space="preserve">. </w:t>
      </w:r>
      <w:r>
        <w:rPr>
          <w:sz w:val="22"/>
          <w:szCs w:val="22"/>
        </w:rPr>
        <w:t xml:space="preserve">Сведения о заявках на участие в </w:t>
      </w:r>
      <w:r>
        <w:rPr>
          <w:bCs/>
          <w:sz w:val="22"/>
          <w:szCs w:val="22"/>
        </w:rPr>
        <w:t>закупке</w:t>
      </w:r>
      <w:r>
        <w:rPr>
          <w:sz w:val="22"/>
          <w:szCs w:val="22"/>
        </w:rPr>
        <w:t>.</w:t>
      </w:r>
    </w:p>
    <w:p>
      <w:pPr>
        <w:pStyle w:val="Style21"/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  <w:t>До окончания срока подачи заявок на участие в закупке подана 1 заявка на участие в закупке в электронной форме: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12"/>
        <w:gridCol w:w="4394"/>
      </w:tblGrid>
      <w:tr>
        <w:trPr>
          <w:trHeight w:val="308" w:hRule="atLeast"/>
        </w:trPr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Регистрационный номер заявки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>
          <w:trHeight w:val="308" w:hRule="atLeast"/>
        </w:trPr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время поступления заявки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27.02.2025 в 22:45</w:t>
            </w:r>
          </w:p>
        </w:tc>
      </w:tr>
      <w:tr>
        <w:trPr>
          <w:trHeight w:val="380" w:hRule="atLeast"/>
        </w:trPr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договора, предложенная участником закупки, руб.</w:t>
            </w:r>
            <w:r>
              <w:rPr>
                <w:rFonts w:cs="Arial"/>
                <w:sz w:val="20"/>
                <w:szCs w:val="18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6 617 182,55 </w:t>
            </w:r>
          </w:p>
        </w:tc>
      </w:tr>
      <w:tr>
        <w:trPr/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Информация об отнесении участника закупки к субъектам малого и среднего предпринимательства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Является субъектом малого и среднего предпринимательства (микропредприятие)</w:t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/>
      </w:pPr>
      <w:r>
        <w:rPr>
          <w:sz w:val="22"/>
          <w:szCs w:val="22"/>
        </w:rPr>
        <w:t>3. Рассмотрение заявок на участие в закупке.</w:t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/>
      </w:pPr>
      <w:r>
        <w:rPr>
          <w:sz w:val="22"/>
          <w:szCs w:val="22"/>
        </w:rPr>
        <w:t>Процедура рассмотрения заявок на участие в закупке и подведение итогов закупки проводится 03 марта 2025 г. в 08 часов 00 минут по адресу: 420012, г. Казань, ул. Достоевского, д. 18/75.</w:t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/>
      </w:pPr>
      <w:r>
        <w:rPr>
          <w:sz w:val="22"/>
          <w:szCs w:val="22"/>
        </w:rPr>
        <w:t xml:space="preserve">3.1. по Заявке № 1 </w:t>
      </w:r>
      <w:r>
        <w:rPr>
          <w:bCs/>
          <w:sz w:val="22"/>
          <w:szCs w:val="22"/>
        </w:rPr>
        <w:t>несоответствий требованиям извещения о проведении закупки не выявлено</w:t>
      </w:r>
      <w:r>
        <w:rPr/>
        <w:t xml:space="preserve"> </w:t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6379"/>
      </w:tblGrid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426" w:leader="none"/>
              </w:tabs>
              <w:spacing w:lineRule="auto" w:line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426" w:leader="none"/>
              </w:tabs>
              <w:spacing w:lineRule="auto" w:line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Решение члена комиссии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Сабиров И.З.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426" w:leader="none"/>
              </w:tabs>
              <w:spacing w:lineRule="auto" w:line="27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соответствует, допустить к участию в закупке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Файзуллин Р.А.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426" w:leader="none"/>
              </w:tabs>
              <w:spacing w:lineRule="auto" w:line="27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соответствует, допустить к участию в закупке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Ушанов В.А.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426" w:leader="none"/>
              </w:tabs>
              <w:spacing w:lineRule="auto" w:line="27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соответствует, допустить к участию в закупке</w:t>
            </w:r>
          </w:p>
        </w:tc>
      </w:tr>
    </w:tbl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0" w:leader="none"/>
        </w:tabs>
        <w:spacing w:lineRule="auto" w:line="276"/>
        <w:jc w:val="both"/>
        <w:rPr/>
      </w:pPr>
      <w:r>
        <w:rPr>
          <w:sz w:val="22"/>
          <w:szCs w:val="22"/>
        </w:rPr>
        <w:t>4. Конкурсная комиссия решила:</w:t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/>
      </w:pPr>
      <w:r>
        <w:rPr>
          <w:sz w:val="22"/>
          <w:szCs w:val="22"/>
        </w:rPr>
        <w:t>4.1. Результаты рассмотрения заявок на участие в закупке</w:t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  <w:t>Количество поданных заявок – 1 заявка</w:t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  <w:t>Количество допущенных заявок – 1 заявка</w:t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/>
      </w:pPr>
      <w:r>
        <w:rPr>
          <w:sz w:val="22"/>
          <w:szCs w:val="22"/>
        </w:rPr>
        <w:t>Количество отклоненных заявок – 0 заявок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  <w:tab w:val="left" w:pos="426" w:leader="none"/>
        </w:tabs>
        <w:spacing w:lineRule="auto" w:line="276"/>
        <w:ind w:hanging="0" w:start="0" w:end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в связи с тем, что на участие в закупке подана только одна заявка, признать настоящий запрос котировок несостоявшимся;</w:t>
      </w:r>
    </w:p>
    <w:p>
      <w:pPr>
        <w:pStyle w:val="Normal"/>
        <w:tabs>
          <w:tab w:val="clear" w:pos="708"/>
          <w:tab w:val="left" w:pos="0" w:leader="none"/>
          <w:tab w:val="left" w:pos="567" w:leader="none"/>
        </w:tabs>
        <w:spacing w:lineRule="auto" w:line="276"/>
        <w:jc w:val="both"/>
        <w:rPr>
          <w:bCs/>
          <w:iCs/>
          <w:sz w:val="22"/>
          <w:szCs w:val="22"/>
        </w:rPr>
      </w:pPr>
      <w:r>
        <w:rPr>
          <w:sz w:val="22"/>
          <w:szCs w:val="22"/>
        </w:rPr>
        <w:t>4.3. на основании пункта 13.3.7 «Положения о закупке товаров, работ, услуг АО «Татавтодор» и п</w:t>
      </w:r>
      <w:r>
        <w:rPr>
          <w:bCs/>
          <w:sz w:val="22"/>
          <w:szCs w:val="22"/>
        </w:rPr>
        <w:t xml:space="preserve">ункта 2.1.4 извещения о проведении закупки </w:t>
      </w:r>
      <w:r>
        <w:rPr>
          <w:sz w:val="22"/>
          <w:szCs w:val="22"/>
        </w:rPr>
        <w:t>заключить договор на п</w:t>
      </w:r>
      <w:r>
        <w:rPr>
          <w:bCs/>
          <w:iCs/>
          <w:sz w:val="22"/>
          <w:szCs w:val="22"/>
        </w:rPr>
        <w:t>оставку пиломатериалов в соответствии с техническим заданием</w:t>
      </w:r>
      <w:r>
        <w:rPr>
          <w:bCs/>
          <w:sz w:val="22"/>
          <w:szCs w:val="22"/>
        </w:rPr>
        <w:t xml:space="preserve"> с участником закупки, подавшем Заявку № 1, на сумму </w:t>
      </w:r>
      <w:r>
        <w:rPr>
          <w:bCs/>
          <w:iCs/>
          <w:sz w:val="22"/>
          <w:szCs w:val="22"/>
        </w:rPr>
        <w:t xml:space="preserve">6 617 182,55 рублей с учетом всех налогов и сборов </w:t>
      </w:r>
      <w:r>
        <w:rPr>
          <w:bCs/>
          <w:sz w:val="22"/>
          <w:szCs w:val="22"/>
        </w:rPr>
        <w:t>на условиях, предусмотренных заявкой на участие в закупке и извещением о проведении закупки</w:t>
      </w:r>
      <w:r>
        <w:rPr>
          <w:sz w:val="22"/>
          <w:szCs w:val="22"/>
        </w:rPr>
        <w:t xml:space="preserve">. </w:t>
      </w:r>
    </w:p>
    <w:p>
      <w:pPr>
        <w:pStyle w:val="Normal"/>
        <w:tabs>
          <w:tab w:val="clear" w:pos="708"/>
          <w:tab w:val="left" w:pos="0" w:leader="none"/>
          <w:tab w:val="left" w:pos="567" w:leader="none"/>
        </w:tabs>
        <w:spacing w:lineRule="auto" w:line="276"/>
        <w:jc w:val="both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6379"/>
      </w:tblGrid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426" w:leader="none"/>
              </w:tabs>
              <w:spacing w:lineRule="auto" w:line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426" w:leader="none"/>
              </w:tabs>
              <w:spacing w:lineRule="auto" w:line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Решение члена комиссии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Сабиров И.З.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426" w:leader="none"/>
              </w:tabs>
              <w:spacing w:lineRule="auto" w:line="27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заключить договор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Файзуллин Р.А.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426" w:leader="none"/>
              </w:tabs>
              <w:spacing w:lineRule="auto" w:line="27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заключить договор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Ушанов В.А.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426" w:leader="none"/>
              </w:tabs>
              <w:spacing w:lineRule="auto" w:line="27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заключить договор</w:t>
            </w:r>
          </w:p>
        </w:tc>
      </w:tr>
    </w:tbl>
    <w:p>
      <w:pPr>
        <w:pStyle w:val="Normal"/>
        <w:tabs>
          <w:tab w:val="clear" w:pos="708"/>
          <w:tab w:val="left" w:pos="0" w:leader="none"/>
          <w:tab w:val="left" w:pos="567" w:leader="none"/>
        </w:tabs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0" w:leader="none"/>
          <w:tab w:val="left" w:pos="567" w:leader="none"/>
        </w:tabs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9"/>
        <w:gridCol w:w="2144"/>
        <w:gridCol w:w="631"/>
        <w:gridCol w:w="1566"/>
        <w:gridCol w:w="420"/>
        <w:gridCol w:w="510"/>
        <w:gridCol w:w="2039"/>
        <w:gridCol w:w="2376"/>
      </w:tblGrid>
      <w:tr>
        <w:trPr>
          <w:trHeight w:val="134" w:hRule="atLeast"/>
        </w:trPr>
        <w:tc>
          <w:tcPr>
            <w:tcW w:w="2663" w:type="dxa"/>
            <w:gridSpan w:val="2"/>
            <w:tcBorders/>
            <w:vAlign w:val="center"/>
          </w:tcPr>
          <w:p>
            <w:pPr>
              <w:pStyle w:val="Header"/>
              <w:tabs>
                <w:tab w:val="clear" w:pos="4153"/>
                <w:tab w:val="clear" w:pos="8306"/>
              </w:tabs>
              <w:ind w:hanging="180" w:start="180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Подписи:</w:t>
            </w:r>
          </w:p>
        </w:tc>
        <w:tc>
          <w:tcPr>
            <w:tcW w:w="2197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uto" w:line="360"/>
              <w:ind w:hanging="180" w:start="180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20" w:type="dxa"/>
            <w:tcBorders/>
            <w:vAlign w:val="center"/>
          </w:tcPr>
          <w:p>
            <w:pPr>
              <w:pStyle w:val="Normal"/>
              <w:snapToGrid w:val="false"/>
              <w:spacing w:lineRule="auto" w:line="360"/>
              <w:ind w:hanging="180" w:start="180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549" w:type="dxa"/>
            <w:gridSpan w:val="2"/>
            <w:tcBorders/>
          </w:tcPr>
          <w:p>
            <w:pPr>
              <w:pStyle w:val="Normal"/>
              <w:snapToGrid w:val="false"/>
              <w:spacing w:lineRule="auto" w:line="360"/>
              <w:ind w:hanging="180" w:start="180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376" w:type="dxa"/>
            <w:tcBorders/>
          </w:tcPr>
          <w:p>
            <w:pPr>
              <w:pStyle w:val="Normal"/>
              <w:snapToGrid w:val="false"/>
              <w:spacing w:lineRule="auto" w:line="360"/>
              <w:ind w:hanging="180" w:start="180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536" w:hRule="atLeast"/>
        </w:trPr>
        <w:tc>
          <w:tcPr>
            <w:tcW w:w="51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75" w:type="dxa"/>
            <w:gridSpan w:val="2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Сабиров И.З.</w:t>
            </w:r>
          </w:p>
        </w:tc>
        <w:tc>
          <w:tcPr>
            <w:tcW w:w="2496" w:type="dxa"/>
            <w:gridSpan w:val="3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</w:t>
            </w:r>
          </w:p>
        </w:tc>
        <w:tc>
          <w:tcPr>
            <w:tcW w:w="44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536" w:hRule="atLeast"/>
        </w:trPr>
        <w:tc>
          <w:tcPr>
            <w:tcW w:w="519" w:type="dxa"/>
            <w:tcBorders/>
            <w:tcMar>
              <w:start w:w="0" w:type="dxa"/>
              <w:end w:w="0" w:type="dxa"/>
            </w:tcMar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75" w:type="dxa"/>
            <w:gridSpan w:val="2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Файзуллин Р.А.</w:t>
            </w:r>
          </w:p>
        </w:tc>
        <w:tc>
          <w:tcPr>
            <w:tcW w:w="2496" w:type="dxa"/>
            <w:gridSpan w:val="3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</w:t>
            </w:r>
          </w:p>
        </w:tc>
        <w:tc>
          <w:tcPr>
            <w:tcW w:w="44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97" w:hRule="atLeast"/>
        </w:trPr>
        <w:tc>
          <w:tcPr>
            <w:tcW w:w="519" w:type="dxa"/>
            <w:tcBorders/>
            <w:tcMar>
              <w:start w:w="0" w:type="dxa"/>
              <w:end w:w="0" w:type="dxa"/>
            </w:tcMar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75" w:type="dxa"/>
            <w:gridSpan w:val="2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Ушанов В.А.</w:t>
            </w:r>
          </w:p>
        </w:tc>
        <w:tc>
          <w:tcPr>
            <w:tcW w:w="2496" w:type="dxa"/>
            <w:gridSpan w:val="3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</w:t>
            </w:r>
          </w:p>
        </w:tc>
        <w:tc>
          <w:tcPr>
            <w:tcW w:w="44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97" w:hRule="atLeast"/>
        </w:trPr>
        <w:tc>
          <w:tcPr>
            <w:tcW w:w="519" w:type="dxa"/>
            <w:tcBorders/>
            <w:tcMar>
              <w:start w:w="0" w:type="dxa"/>
              <w:end w:w="0" w:type="dxa"/>
            </w:tcMar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75" w:type="dxa"/>
            <w:gridSpan w:val="2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Галимова Г.Ш.</w:t>
            </w:r>
          </w:p>
        </w:tc>
        <w:tc>
          <w:tcPr>
            <w:tcW w:w="2496" w:type="dxa"/>
            <w:gridSpan w:val="3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</w:t>
            </w:r>
          </w:p>
        </w:tc>
        <w:tc>
          <w:tcPr>
            <w:tcW w:w="44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97" w:hRule="atLeast"/>
        </w:trPr>
        <w:tc>
          <w:tcPr>
            <w:tcW w:w="519" w:type="dxa"/>
            <w:tcBorders/>
            <w:tcMar>
              <w:start w:w="0" w:type="dxa"/>
              <w:end w:w="0" w:type="dxa"/>
            </w:tcMar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271" w:type="dxa"/>
            <w:gridSpan w:val="5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подписания протокола:  ___________________</w:t>
            </w:r>
          </w:p>
        </w:tc>
        <w:tc>
          <w:tcPr>
            <w:tcW w:w="44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jc w:val="center"/>
        <w:rPr>
          <w:rFonts w:eastAsia="Arial Unicode MS"/>
          <w:b/>
          <w:bCs/>
          <w:caps/>
        </w:rPr>
      </w:pPr>
      <w:r>
        <w:rPr>
          <w:rFonts w:eastAsia="Arial Unicode MS"/>
          <w:b/>
          <w:bCs/>
          <w:caps/>
        </w:rPr>
      </w:r>
    </w:p>
    <w:p>
      <w:pPr>
        <w:pStyle w:val="Normal"/>
        <w:tabs>
          <w:tab w:val="clear" w:pos="708"/>
          <w:tab w:val="left" w:pos="0" w:leader="none"/>
        </w:tabs>
        <w:jc w:val="center"/>
        <w:rPr>
          <w:rFonts w:eastAsia="Arial Unicode MS"/>
          <w:b/>
          <w:bCs/>
          <w:caps/>
        </w:rPr>
      </w:pPr>
      <w:r>
        <w:rPr>
          <w:rFonts w:eastAsia="Arial Unicode MS"/>
          <w:b/>
          <w:bCs/>
          <w:caps/>
        </w:rPr>
      </w:r>
    </w:p>
    <w:p>
      <w:pPr>
        <w:pStyle w:val="Normal"/>
        <w:tabs>
          <w:tab w:val="clear" w:pos="708"/>
          <w:tab w:val="left" w:pos="0" w:leader="none"/>
        </w:tabs>
        <w:jc w:val="center"/>
        <w:rPr>
          <w:rFonts w:eastAsia="Arial Unicode MS"/>
          <w:b/>
          <w:bCs/>
          <w:caps/>
        </w:rPr>
      </w:pPr>
      <w:r>
        <w:rPr>
          <w:rFonts w:eastAsia="Arial Unicode MS"/>
          <w:b/>
          <w:bCs/>
          <w:caps/>
        </w:rPr>
      </w:r>
    </w:p>
    <w:p>
      <w:pPr>
        <w:pStyle w:val="Normal"/>
        <w:tabs>
          <w:tab w:val="clear" w:pos="708"/>
          <w:tab w:val="left" w:pos="0" w:leader="none"/>
        </w:tabs>
        <w:jc w:val="center"/>
        <w:rPr>
          <w:rFonts w:eastAsia="Arial Unicode MS"/>
          <w:b/>
          <w:bCs/>
          <w:caps/>
        </w:rPr>
      </w:pPr>
      <w:r>
        <w:rPr>
          <w:rFonts w:eastAsia="Arial Unicode MS"/>
          <w:b/>
          <w:bCs/>
          <w:caps/>
        </w:rPr>
      </w:r>
    </w:p>
    <w:p>
      <w:pPr>
        <w:pStyle w:val="Normal"/>
        <w:tabs>
          <w:tab w:val="clear" w:pos="708"/>
          <w:tab w:val="left" w:pos="0" w:leader="none"/>
        </w:tabs>
        <w:jc w:val="center"/>
        <w:rPr>
          <w:rFonts w:eastAsia="Arial Unicode MS"/>
          <w:b/>
          <w:bCs/>
          <w:caps/>
        </w:rPr>
      </w:pPr>
      <w:r>
        <w:rPr>
          <w:rFonts w:eastAsia="Arial Unicode MS"/>
          <w:b/>
          <w:bCs/>
          <w:caps/>
        </w:rPr>
      </w:r>
    </w:p>
    <w:p>
      <w:pPr>
        <w:pStyle w:val="Normal"/>
        <w:tabs>
          <w:tab w:val="clear" w:pos="708"/>
          <w:tab w:val="left" w:pos="0" w:leader="none"/>
        </w:tabs>
        <w:jc w:val="center"/>
        <w:rPr>
          <w:rFonts w:eastAsia="Arial Unicode MS"/>
          <w:b/>
          <w:bCs/>
          <w:caps/>
        </w:rPr>
      </w:pPr>
      <w:r>
        <w:rPr>
          <w:rFonts w:eastAsia="Arial Unicode MS"/>
          <w:b/>
          <w:bCs/>
          <w:caps/>
        </w:rPr>
      </w:r>
    </w:p>
    <w:p>
      <w:pPr>
        <w:pStyle w:val="Normal"/>
        <w:tabs>
          <w:tab w:val="clear" w:pos="708"/>
          <w:tab w:val="left" w:pos="0" w:leader="none"/>
        </w:tabs>
        <w:jc w:val="center"/>
        <w:rPr>
          <w:rFonts w:eastAsia="Arial Unicode MS"/>
          <w:b/>
          <w:bCs/>
          <w:caps/>
        </w:rPr>
      </w:pPr>
      <w:r>
        <w:rPr>
          <w:rFonts w:eastAsia="Arial Unicode MS"/>
          <w:b/>
          <w:bCs/>
          <w:caps/>
        </w:rPr>
      </w:r>
    </w:p>
    <w:p>
      <w:pPr>
        <w:pStyle w:val="Normal"/>
        <w:tabs>
          <w:tab w:val="clear" w:pos="708"/>
          <w:tab w:val="left" w:pos="0" w:leader="none"/>
        </w:tabs>
        <w:jc w:val="center"/>
        <w:rPr>
          <w:rFonts w:eastAsia="Arial Unicode MS"/>
          <w:b/>
          <w:bCs/>
          <w:caps/>
        </w:rPr>
      </w:pPr>
      <w:r>
        <w:rPr>
          <w:rFonts w:eastAsia="Arial Unicode MS"/>
          <w:b/>
          <w:bCs/>
          <w:caps/>
        </w:rPr>
      </w:r>
    </w:p>
    <w:p>
      <w:pPr>
        <w:pStyle w:val="Normal"/>
        <w:tabs>
          <w:tab w:val="clear" w:pos="708"/>
          <w:tab w:val="left" w:pos="0" w:leader="none"/>
        </w:tabs>
        <w:jc w:val="center"/>
        <w:rPr>
          <w:rFonts w:eastAsia="Arial Unicode MS"/>
          <w:b/>
          <w:bCs/>
          <w:caps/>
        </w:rPr>
      </w:pPr>
      <w:r>
        <w:rPr>
          <w:rFonts w:eastAsia="Arial Unicode MS"/>
          <w:b/>
          <w:bCs/>
          <w:caps/>
        </w:rPr>
      </w:r>
    </w:p>
    <w:p>
      <w:pPr>
        <w:pStyle w:val="Normal"/>
        <w:tabs>
          <w:tab w:val="clear" w:pos="708"/>
          <w:tab w:val="left" w:pos="0" w:leader="none"/>
        </w:tabs>
        <w:jc w:val="center"/>
        <w:rPr>
          <w:rFonts w:eastAsia="Arial Unicode MS"/>
          <w:b/>
          <w:bCs/>
          <w:caps/>
        </w:rPr>
      </w:pPr>
      <w:r>
        <w:rPr>
          <w:rFonts w:eastAsia="Arial Unicode MS"/>
          <w:b/>
          <w:bCs/>
          <w:caps/>
        </w:rPr>
      </w:r>
    </w:p>
    <w:p>
      <w:pPr>
        <w:pStyle w:val="Normal"/>
        <w:tabs>
          <w:tab w:val="clear" w:pos="708"/>
          <w:tab w:val="left" w:pos="0" w:leader="none"/>
        </w:tabs>
        <w:rPr>
          <w:rFonts w:eastAsia="Arial Unicode MS"/>
          <w:b/>
          <w:bCs/>
          <w:caps/>
        </w:rPr>
      </w:pPr>
      <w:r>
        <w:rPr>
          <w:rFonts w:eastAsia="Arial Unicode MS"/>
          <w:b/>
          <w:bCs/>
          <w:caps/>
        </w:rPr>
      </w:r>
    </w:p>
    <w:p>
      <w:pPr>
        <w:pStyle w:val="Normal"/>
        <w:tabs>
          <w:tab w:val="clear" w:pos="708"/>
          <w:tab w:val="left" w:pos="0" w:leader="none"/>
        </w:tabs>
        <w:rPr>
          <w:rFonts w:eastAsia="Arial Unicode MS"/>
          <w:b/>
          <w:bCs/>
          <w:caps/>
        </w:rPr>
      </w:pPr>
      <w:r>
        <w:rPr>
          <w:rFonts w:eastAsia="Arial Unicode MS"/>
          <w:b/>
          <w:bCs/>
          <w:caps/>
        </w:rPr>
      </w:r>
    </w:p>
    <w:sectPr>
      <w:headerReference w:type="default" r:id="rId2"/>
      <w:headerReference w:type="first" r:id="rId3"/>
      <w:type w:val="nextPage"/>
      <w:pgSz w:w="11906" w:h="16838"/>
      <w:pgMar w:left="1134" w:right="567" w:gutter="0" w:header="709" w:top="765" w:footer="0" w:bottom="56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4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2"/>
      <w:numFmt w:val="decimal"/>
      <w:lvlText w:val="%1.%2."/>
      <w:lvlJc w:val="start"/>
      <w:pPr>
        <w:tabs>
          <w:tab w:val="num" w:pos="0"/>
        </w:tabs>
        <w:ind w:start="36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color w:val="000000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720" w:hanging="360"/>
      </w:pPr>
      <w:rPr>
        <w:b w:val="false"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kern w:val="2"/>
      <w:sz w:val="28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b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b/>
      <w:i w:val="false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>
      <w:color w:val="201D1E"/>
      <w:sz w:val="22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Times New Roman" w:hAnsi="Times New Roman" w:eastAsia="Times New Roman" w:cs="Times New Roman"/>
      <w:color w:val="000000"/>
    </w:rPr>
  </w:style>
  <w:style w:type="character" w:styleId="WW8Num32z1">
    <w:name w:val="WW8Num32z1"/>
    <w:qFormat/>
    <w:rPr>
      <w:b w:val="false"/>
    </w:rPr>
  </w:style>
  <w:style w:type="character" w:styleId="WW8Num32z2">
    <w:name w:val="WW8Num32z2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rong">
    <w:name w:val="Strong"/>
    <w:qFormat/>
    <w:rPr>
      <w:b/>
      <w:bCs/>
    </w:rPr>
  </w:style>
  <w:style w:type="character" w:styleId="Style14">
    <w:name w:val="Основной текст с отступом Знак"/>
    <w:qFormat/>
    <w:rPr>
      <w:sz w:val="24"/>
      <w:szCs w:val="24"/>
    </w:rPr>
  </w:style>
  <w:style w:type="character" w:styleId="Style15">
    <w:name w:val="Основной текст Знак"/>
    <w:qFormat/>
    <w:rPr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autoSpaceDE w:val="false"/>
      <w:jc w:val="both"/>
    </w:pPr>
    <w:rPr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</w:pPr>
    <w:rPr>
      <w:szCs w:val="20"/>
    </w:rPr>
  </w:style>
  <w:style w:type="paragraph" w:styleId="Style16">
    <w:name w:val=" Знак Знак Знак Знак Знак Знак"/>
    <w:basedOn w:val="Normal"/>
    <w:qFormat/>
    <w:pPr>
      <w:spacing w:lineRule="exact" w:line="240" w:before="0" w:after="160"/>
    </w:pPr>
    <w:rPr>
      <w:rFonts w:ascii="Tahoma" w:hAnsi="Tahoma" w:cs="Tahoma"/>
      <w:sz w:val="18"/>
      <w:szCs w:val="18"/>
      <w:lang w:val="en-US"/>
    </w:rPr>
  </w:style>
  <w:style w:type="paragraph" w:styleId="Style17">
    <w:name w:val="Таблица центр"/>
    <w:qFormat/>
    <w:pPr>
      <w:widowControl/>
      <w:bidi w:val="0"/>
      <w:jc w:val="center"/>
    </w:pPr>
    <w:rPr>
      <w:rFonts w:ascii="Times New Roman" w:hAnsi="Times New Roman" w:eastAsia="Times New Roman" w:cs="Times New Roman"/>
      <w:color w:val="auto"/>
      <w:sz w:val="20"/>
      <w:szCs w:val="24"/>
      <w:lang w:val="ru-RU" w:bidi="ar-SA" w:eastAsia="zh-CN"/>
    </w:rPr>
  </w:style>
  <w:style w:type="paragraph" w:styleId="1">
    <w:name w:val=" Знак Знак1 Знак"/>
    <w:basedOn w:val="Normal"/>
    <w:qFormat/>
    <w:pPr>
      <w:spacing w:lineRule="exact" w:line="240" w:before="0" w:after="160"/>
    </w:pPr>
    <w:rPr>
      <w:rFonts w:ascii="Tahoma" w:hAnsi="Tahoma" w:cs="Tahoma"/>
      <w:sz w:val="18"/>
      <w:szCs w:val="18"/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9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21">
    <w:name w:val=" Знак Знак Знак2 Знак Знак Знак1"/>
    <w:basedOn w:val="Normal"/>
    <w:qFormat/>
    <w:pPr>
      <w:spacing w:lineRule="exact" w:line="240" w:before="0" w:after="160"/>
    </w:pPr>
    <w:rPr>
      <w:rFonts w:ascii="Tahoma" w:hAnsi="Tahoma" w:cs="Tahoma"/>
      <w:sz w:val="18"/>
      <w:szCs w:val="18"/>
      <w:lang w:val="en-US"/>
    </w:rPr>
  </w:style>
  <w:style w:type="paragraph" w:styleId="2">
    <w:name w:val="Основной текст 2"/>
    <w:basedOn w:val="Normal"/>
    <w:qFormat/>
    <w:pPr>
      <w:spacing w:lineRule="auto" w:line="480" w:before="0" w:after="120"/>
    </w:pPr>
    <w:rPr/>
  </w:style>
  <w:style w:type="paragraph" w:styleId="Style20">
    <w:name w:val="Обычный (веб)"/>
    <w:basedOn w:val="Normal"/>
    <w:qFormat/>
    <w:pPr>
      <w:spacing w:before="280" w:after="280"/>
    </w:pPr>
    <w:rPr/>
  </w:style>
  <w:style w:type="paragraph" w:styleId="211617">
    <w:name w:val=" Знак Знак Знак2 Знак Знак Знак1 Знак Знак Знак16 Знак Знак Знак Знак Знак Знак1 Знак Знак Знак7"/>
    <w:basedOn w:val="Normal"/>
    <w:qFormat/>
    <w:pPr>
      <w:spacing w:lineRule="exact" w:line="240" w:before="0" w:after="160"/>
    </w:pPr>
    <w:rPr>
      <w:rFonts w:ascii="Tahoma" w:hAnsi="Tahoma" w:cs="Tahoma"/>
      <w:sz w:val="18"/>
      <w:szCs w:val="18"/>
      <w:lang w:val="en-US"/>
    </w:rPr>
  </w:style>
  <w:style w:type="paragraph" w:styleId="11">
    <w:name w:val="Стиль1"/>
    <w:basedOn w:val="Normal"/>
    <w:qFormat/>
    <w:pPr>
      <w:spacing w:lineRule="auto" w:line="288"/>
    </w:pPr>
    <w:rPr>
      <w:sz w:val="28"/>
      <w:szCs w:val="20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Style21">
    <w:name w:val="Содержимое таблицы"/>
    <w:basedOn w:val="Normal"/>
    <w:qFormat/>
    <w:pPr>
      <w:widowControl w:val="false"/>
      <w:suppressLineNumbers/>
      <w:suppressAutoHyphens w:val="true"/>
    </w:pPr>
    <w:rPr>
      <w:rFonts w:eastAsia="Lucida Sans Unicode"/>
      <w:kern w:val="2"/>
    </w:rPr>
  </w:style>
  <w:style w:type="paragraph" w:styleId="Style22">
    <w:name w:val="Перечисление"/>
    <w:qFormat/>
    <w:pPr>
      <w:keepNext w:val="true"/>
      <w:widowControl/>
      <w:tabs>
        <w:tab w:val="clear" w:pos="708"/>
        <w:tab w:val="left" w:pos="432" w:leader="none"/>
      </w:tabs>
      <w:bidi w:val="0"/>
      <w:spacing w:before="60" w:after="60"/>
      <w:ind w:hanging="432" w:start="432" w:end="0"/>
      <w:jc w:val="both"/>
    </w:pPr>
    <w:rPr>
      <w:rFonts w:ascii="Times New Roman" w:hAnsi="Times New Roman" w:eastAsia="Times New Roman" w:cs="Times New Roman"/>
      <w:color w:val="auto"/>
      <w:sz w:val="26"/>
      <w:szCs w:val="20"/>
      <w:lang w:val="ru-RU" w:bidi="ar-SA" w:eastAsia="zh-CN"/>
    </w:rPr>
  </w:style>
  <w:style w:type="paragraph" w:styleId="-6">
    <w:name w:val="Пункт-6"/>
    <w:basedOn w:val="Normal"/>
    <w:qFormat/>
    <w:pPr>
      <w:tabs>
        <w:tab w:val="clear" w:pos="708"/>
        <w:tab w:val="left" w:pos="2034" w:leader="none"/>
      </w:tabs>
      <w:spacing w:lineRule="auto" w:line="288"/>
      <w:ind w:firstLine="567" w:start="333" w:end="0"/>
      <w:jc w:val="both"/>
    </w:pPr>
    <w:rPr>
      <w:sz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2019-11-28T06:16:00Z</dcterms:created>
  <dc:creator>MikhaylovaNV</dc:creator>
  <dc:description/>
  <cp:keywords/>
  <dc:language>en-US</dc:language>
  <cp:lastModifiedBy>Галимова Гульназ Шарипзяновна</cp:lastModifiedBy>
  <cp:lastPrinted>2024-04-04T08:32:00Z</cp:lastPrinted>
  <dcterms:modified xsi:type="dcterms:W3CDTF">2025-03-03T09:59:00Z</dcterms:modified>
  <cp:revision>115</cp:revision>
  <dc:subject/>
  <dc:title>УТВЕРЖДАЮ</dc:title>
</cp:coreProperties>
</file>