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B03C9" w14:textId="0BF0B442" w:rsidR="00DB7DB4" w:rsidRDefault="0076282E" w:rsidP="0000615B">
      <w:pPr>
        <w:pStyle w:val="Rubrik"/>
      </w:pPr>
      <w:proofErr w:type="spellStart"/>
      <w:r>
        <w:t>Nernsts</w:t>
      </w:r>
      <w:proofErr w:type="spellEnd"/>
      <w:r>
        <w:t xml:space="preserve"> lov</w:t>
      </w:r>
      <w:r w:rsidR="00BB3F1C" w:rsidRPr="00BB3F1C">
        <w:rPr>
          <w:rFonts w:ascii="Lucida Grande" w:hAnsi="Lucida Grande" w:cs="Lucida Grande"/>
          <w:b/>
          <w:color w:val="000000"/>
        </w:rPr>
        <w:t xml:space="preserve"> </w:t>
      </w:r>
    </w:p>
    <w:p w14:paraId="412D3566" w14:textId="77777777" w:rsidR="0000615B" w:rsidRDefault="0000615B" w:rsidP="0000615B">
      <w:pPr>
        <w:pStyle w:val="Overskrift2"/>
      </w:pPr>
      <w:r>
        <w:t>Formål</w:t>
      </w:r>
    </w:p>
    <w:p w14:paraId="7E665BCC" w14:textId="3878C0BE" w:rsidR="0000615B" w:rsidRPr="0000615B" w:rsidRDefault="0000615B" w:rsidP="0000615B">
      <w:r>
        <w:t xml:space="preserve">At </w:t>
      </w:r>
      <w:r w:rsidR="00BB3F1C">
        <w:t>eftervise</w:t>
      </w:r>
      <w:r>
        <w:t xml:space="preserve"> </w:t>
      </w:r>
      <w:proofErr w:type="spellStart"/>
      <w:r w:rsidR="0076282E">
        <w:t>Nernsts</w:t>
      </w:r>
      <w:proofErr w:type="spellEnd"/>
      <w:r w:rsidR="0076282E">
        <w:t xml:space="preserve"> lov</w:t>
      </w:r>
      <w:r>
        <w:t>.</w:t>
      </w:r>
    </w:p>
    <w:p w14:paraId="37DCA7D5" w14:textId="77777777" w:rsidR="0000615B" w:rsidRDefault="0000615B" w:rsidP="0000615B">
      <w:pPr>
        <w:pStyle w:val="Overskrift2"/>
      </w:pPr>
      <w:r>
        <w:t>Teori</w:t>
      </w:r>
    </w:p>
    <w:p w14:paraId="271F60A2" w14:textId="15BB928F" w:rsidR="0000615B" w:rsidRDefault="001E31B3" w:rsidP="0000615B">
      <w:r>
        <w:t>Vi skal måle på følgende elektrokemiske celle:</w:t>
      </w:r>
    </w:p>
    <w:p w14:paraId="79CB00EA" w14:textId="77777777" w:rsidR="0000615B" w:rsidRDefault="0000615B" w:rsidP="0000615B"/>
    <w:p w14:paraId="74665C76" w14:textId="0F52D4C6" w:rsidR="001E31B3" w:rsidRDefault="0000615B" w:rsidP="001E31B3">
      <w:proofErr w:type="spellStart"/>
      <w:r>
        <w:t>Cu</w:t>
      </w:r>
      <w:proofErr w:type="spellEnd"/>
      <w:r>
        <w:t xml:space="preserve"> (s)  |  Cu</w:t>
      </w:r>
      <w:r>
        <w:rPr>
          <w:vertAlign w:val="superscript"/>
        </w:rPr>
        <w:t>2+</w:t>
      </w:r>
      <w:r w:rsidR="001E31B3">
        <w:t xml:space="preserve"> (</w:t>
      </w:r>
      <w:proofErr w:type="spellStart"/>
      <w:r w:rsidR="001E31B3">
        <w:t>aq</w:t>
      </w:r>
      <w:proofErr w:type="spellEnd"/>
      <w:r>
        <w:t>)</w:t>
      </w:r>
      <w:r w:rsidR="001E31B3">
        <w:t xml:space="preserve">  ||  Ag</w:t>
      </w:r>
      <w:r w:rsidR="001E31B3">
        <w:rPr>
          <w:vertAlign w:val="superscript"/>
        </w:rPr>
        <w:t>+</w:t>
      </w:r>
      <w:r w:rsidR="001E31B3">
        <w:t xml:space="preserve"> (</w:t>
      </w:r>
      <w:proofErr w:type="spellStart"/>
      <w:r w:rsidR="001E31B3">
        <w:t>aq</w:t>
      </w:r>
      <w:proofErr w:type="spellEnd"/>
      <w:r w:rsidR="001E31B3">
        <w:t>)  |  Ag (s)</w:t>
      </w:r>
    </w:p>
    <w:p w14:paraId="199D0299" w14:textId="63595031" w:rsidR="0000615B" w:rsidRDefault="0000615B" w:rsidP="0000615B"/>
    <w:p w14:paraId="77B95FF5" w14:textId="2DDA1F4C" w:rsidR="001E31B3" w:rsidRPr="001E31B3" w:rsidRDefault="001E31B3" w:rsidP="0000615B">
      <w:proofErr w:type="spellStart"/>
      <w:r>
        <w:t>Cu</w:t>
      </w:r>
      <w:proofErr w:type="spellEnd"/>
      <w:r>
        <w:t xml:space="preserve"> (s)  +  2Ag</w:t>
      </w:r>
      <w:r>
        <w:rPr>
          <w:vertAlign w:val="superscript"/>
        </w:rPr>
        <w:t>+</w:t>
      </w:r>
      <w:r>
        <w:t xml:space="preserve"> (</w:t>
      </w:r>
      <w:proofErr w:type="spellStart"/>
      <w:r>
        <w:t>aq</w:t>
      </w:r>
      <w:proofErr w:type="spellEnd"/>
      <w:r>
        <w:t xml:space="preserve">) </w:t>
      </w:r>
      <w:r>
        <w:sym w:font="Wingdings" w:char="F0E0"/>
      </w:r>
      <w:r>
        <w:t xml:space="preserve">  Cu</w:t>
      </w:r>
      <w:r>
        <w:rPr>
          <w:vertAlign w:val="superscript"/>
        </w:rPr>
        <w:t>2+</w:t>
      </w:r>
      <w:r>
        <w:t xml:space="preserve"> (</w:t>
      </w:r>
      <w:proofErr w:type="spellStart"/>
      <w:r>
        <w:t>aq</w:t>
      </w:r>
      <w:proofErr w:type="spellEnd"/>
      <w:r>
        <w:t xml:space="preserve">)  +  2Ag (s)  </w:t>
      </w:r>
    </w:p>
    <w:p w14:paraId="1DA32468" w14:textId="77777777" w:rsidR="001E31B3" w:rsidRDefault="001E31B3" w:rsidP="0000615B"/>
    <w:p w14:paraId="23EF7583" w14:textId="0F59EA22" w:rsidR="001E31B3" w:rsidRDefault="001E31B3" w:rsidP="0000615B">
      <w:r>
        <w:t xml:space="preserve">Anvender man </w:t>
      </w:r>
      <w:proofErr w:type="spellStart"/>
      <w:r>
        <w:t>Nernsts</w:t>
      </w:r>
      <w:proofErr w:type="spellEnd"/>
      <w:r>
        <w:t xml:space="preserve"> lov på cellen, får man:</w:t>
      </w:r>
    </w:p>
    <w:p w14:paraId="347BE055" w14:textId="77777777" w:rsidR="001E31B3" w:rsidRDefault="001E31B3" w:rsidP="0000615B"/>
    <w:p w14:paraId="0777D83F" w14:textId="420EDDD2" w:rsidR="001E31B3" w:rsidRPr="001E31B3" w:rsidRDefault="009C4EBB" w:rsidP="000061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⊖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58 mV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Ag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F60A0D2" w14:textId="2C3FEDE4" w:rsidR="001E31B3" w:rsidRDefault="001E31B3" w:rsidP="0000615B">
      <w:r>
        <w:t>Da målingerne udføres ved stuetemperatur</w:t>
      </w:r>
      <w:r w:rsidR="00BB3F1C">
        <w:t xml:space="preserve">, anvender vi værdien 58 mV i stedet for den sædvanlige værdi 59 mV (0,059V), som gælder ved 25 </w:t>
      </w:r>
      <w:r w:rsidR="00BB3F1C" w:rsidRPr="00BB3F1C">
        <w:rPr>
          <w:rFonts w:cs="Lucida Grande"/>
          <w:b/>
          <w:color w:val="000000"/>
        </w:rPr>
        <w:t>°</w:t>
      </w:r>
      <w:r w:rsidR="00BB3F1C">
        <w:t>C.</w:t>
      </w:r>
    </w:p>
    <w:p w14:paraId="0B87102B" w14:textId="77777777" w:rsidR="00BB3F1C" w:rsidRDefault="00BB3F1C" w:rsidP="0000615B"/>
    <w:p w14:paraId="5783FE9D" w14:textId="7C174EF8" w:rsidR="00BB3F1C" w:rsidRDefault="00BB3F1C" w:rsidP="0000615B">
      <w:r>
        <w:t xml:space="preserve">For at eftervise </w:t>
      </w:r>
      <w:proofErr w:type="spellStart"/>
      <w:r>
        <w:t>Nernsts</w:t>
      </w:r>
      <w:proofErr w:type="spellEnd"/>
      <w:r>
        <w:t xml:space="preserve"> lov  laves en måleserie af U</w:t>
      </w:r>
      <w:r>
        <w:rPr>
          <w:vertAlign w:val="subscript"/>
        </w:rPr>
        <w:t>0</w:t>
      </w:r>
      <w:r>
        <w:t xml:space="preserve"> for celler med forskellige sølvkoncentrationer. Kobberkoncentrationen holdes konstant på 1,00M. </w:t>
      </w:r>
      <w:proofErr w:type="spellStart"/>
      <w:r>
        <w:t>Nernsts</w:t>
      </w:r>
      <w:proofErr w:type="spellEnd"/>
      <w:r>
        <w:t xml:space="preserve"> lov bliver da:</w:t>
      </w:r>
    </w:p>
    <w:p w14:paraId="75B356D6" w14:textId="77777777" w:rsidR="00BB3F1C" w:rsidRDefault="00BB3F1C" w:rsidP="0000615B"/>
    <w:p w14:paraId="673C7C57" w14:textId="11C6AA67" w:rsidR="00BB3F1C" w:rsidRPr="00BB3F1C" w:rsidRDefault="009C4EBB" w:rsidP="000061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⊖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58 mV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Ag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D83E3EC" w14:textId="78A7F518" w:rsidR="00BB3F1C" w:rsidRDefault="00BB3F1C" w:rsidP="0000615B">
      <w:r>
        <w:t>eller</w:t>
      </w:r>
    </w:p>
    <w:p w14:paraId="17CB988C" w14:textId="5D47FC47" w:rsidR="00BB3F1C" w:rsidRPr="00BB3F1C" w:rsidRDefault="009C4EBB" w:rsidP="000061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⊖</m:t>
              </m:r>
            </m:sup>
          </m:sSubSup>
          <m:r>
            <w:rPr>
              <w:rFonts w:ascii="Cambria Math" w:hAnsi="Cambria Math"/>
            </w:rPr>
            <m:t>+58 mV∙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DA61C37" w14:textId="77777777" w:rsidR="00BB3F1C" w:rsidRDefault="00BB3F1C" w:rsidP="0000615B"/>
    <w:p w14:paraId="58953D73" w14:textId="28566461" w:rsidR="00BB3F1C" w:rsidRPr="00BB3F1C" w:rsidRDefault="00BB3F1C" w:rsidP="0000615B">
      <w:r>
        <w:t xml:space="preserve">Hvis </w:t>
      </w:r>
      <w:proofErr w:type="spellStart"/>
      <w:r>
        <w:t>Nernsts</w:t>
      </w:r>
      <w:proofErr w:type="spellEnd"/>
      <w:r>
        <w:t xml:space="preserve"> lov er opfyldt, skal en afbildning af U</w:t>
      </w:r>
      <w:r>
        <w:rPr>
          <w:vertAlign w:val="subscript"/>
        </w:rPr>
        <w:t>0</w:t>
      </w:r>
      <w:r>
        <w:t xml:space="preserve"> mod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give en ret linje med hældningskoefficienten 58 </w:t>
      </w:r>
      <w:proofErr w:type="spellStart"/>
      <w:r>
        <w:t>mV.</w:t>
      </w:r>
      <w:proofErr w:type="spellEnd"/>
    </w:p>
    <w:p w14:paraId="5E83FBF8" w14:textId="77777777" w:rsidR="0000615B" w:rsidRDefault="0000615B" w:rsidP="0000615B">
      <w:pPr>
        <w:pStyle w:val="Overskrift2"/>
      </w:pPr>
      <w:r>
        <w:t>Apparatur</w:t>
      </w:r>
    </w:p>
    <w:p w14:paraId="08664033" w14:textId="3334B23D" w:rsidR="0000615B" w:rsidRPr="0000615B" w:rsidRDefault="0000615B" w:rsidP="0000615B">
      <w:r>
        <w:t xml:space="preserve">To </w:t>
      </w:r>
      <w:r w:rsidR="009C4EBB">
        <w:t>elektrolyseglas</w:t>
      </w:r>
      <w:r>
        <w:t xml:space="preserve">, </w:t>
      </w:r>
      <w:r w:rsidR="004108DE">
        <w:t>10 ml måleglas, spatel, petriskål, filterpapir, ståluld</w:t>
      </w:r>
      <w:r>
        <w:t>, digitalvoltmeter, to ledninger med krokodillenæb.</w:t>
      </w:r>
    </w:p>
    <w:p w14:paraId="55B9959B" w14:textId="77777777" w:rsidR="0000615B" w:rsidRDefault="0000615B" w:rsidP="0000615B">
      <w:pPr>
        <w:pStyle w:val="Overskrift2"/>
      </w:pPr>
      <w:r>
        <w:t>Kemikalier</w:t>
      </w:r>
    </w:p>
    <w:p w14:paraId="4BAD342C" w14:textId="77777777" w:rsidR="0000615B" w:rsidRPr="0000615B" w:rsidRDefault="0000615B" w:rsidP="0000615B">
      <w:r>
        <w:t>0,10M AgNO</w:t>
      </w:r>
      <w:r>
        <w:rPr>
          <w:vertAlign w:val="subscript"/>
        </w:rPr>
        <w:t>3</w:t>
      </w:r>
      <w:r w:rsidR="004108DE">
        <w:t>, 1,0</w:t>
      </w:r>
      <w:r>
        <w:t>0M CuSO</w:t>
      </w:r>
      <w:r>
        <w:rPr>
          <w:vertAlign w:val="subscript"/>
        </w:rPr>
        <w:t>4</w:t>
      </w:r>
      <w:r>
        <w:t xml:space="preserve">, </w:t>
      </w:r>
      <w:r w:rsidR="004108DE">
        <w:t>sølvtråd, kobbertråd</w:t>
      </w:r>
      <w:r>
        <w:t>, 10% NH</w:t>
      </w:r>
      <w:r>
        <w:rPr>
          <w:vertAlign w:val="subscript"/>
        </w:rPr>
        <w:t>4</w:t>
      </w:r>
      <w:r>
        <w:t>NO</w:t>
      </w:r>
      <w:r>
        <w:rPr>
          <w:vertAlign w:val="subscript"/>
        </w:rPr>
        <w:t>3</w:t>
      </w:r>
      <w:r>
        <w:t>-opløsning.</w:t>
      </w:r>
    </w:p>
    <w:p w14:paraId="4EB76628" w14:textId="1555B5CE" w:rsidR="0000615B" w:rsidRDefault="0000615B" w:rsidP="0000615B">
      <w:pPr>
        <w:pStyle w:val="Overskrift2"/>
      </w:pPr>
      <w:r>
        <w:t>Fremgangsmåde</w:t>
      </w:r>
    </w:p>
    <w:p w14:paraId="5F0CCBB9" w14:textId="4AD29405" w:rsidR="006673FC" w:rsidRDefault="004B63C8" w:rsidP="007E48DD">
      <w:r>
        <w:t>Opstillingen er den samme som i øvelsen ’Elektrokemiske celler’.</w:t>
      </w:r>
    </w:p>
    <w:p w14:paraId="1EF8D365" w14:textId="77777777" w:rsidR="004B63C8" w:rsidRDefault="004B63C8" w:rsidP="007E48DD"/>
    <w:p w14:paraId="0B8564DA" w14:textId="5E3E37B2" w:rsidR="004B63C8" w:rsidRDefault="009C4EBB" w:rsidP="007E48DD">
      <w:r>
        <w:t>Der anvendes to elektrolyseglas</w:t>
      </w:r>
      <w:r w:rsidR="004B63C8">
        <w:t>, som renses grundigt med demineraliseret</w:t>
      </w:r>
      <w:r>
        <w:t xml:space="preserve"> vand(spørg Lise for at få det rigtige demineraliseret vand) </w:t>
      </w:r>
      <w:r w:rsidR="004B63C8">
        <w:t>inden brug. Ryst vandt ud af glassene så godt som mulig</w:t>
      </w:r>
      <w:r w:rsidR="00B31898">
        <w:t>t. Fyld det ene glas</w:t>
      </w:r>
      <w:r w:rsidR="004B63C8">
        <w:t xml:space="preserve"> ca. halvt op med 1,00 M CuSO</w:t>
      </w:r>
      <w:r w:rsidR="004B63C8">
        <w:rPr>
          <w:vertAlign w:val="subscript"/>
        </w:rPr>
        <w:t>4</w:t>
      </w:r>
      <w:r w:rsidR="004B63C8">
        <w:t xml:space="preserve"> og det andet med 0,10 M AgNO</w:t>
      </w:r>
      <w:r w:rsidR="004B63C8">
        <w:rPr>
          <w:vertAlign w:val="subscript"/>
        </w:rPr>
        <w:t>3</w:t>
      </w:r>
      <w:r w:rsidR="004B63C8">
        <w:t>.</w:t>
      </w:r>
    </w:p>
    <w:p w14:paraId="6F24208D" w14:textId="77777777" w:rsidR="004B63C8" w:rsidRDefault="004B63C8" w:rsidP="007E48DD"/>
    <w:p w14:paraId="55AE4C9F" w14:textId="13EB9C41" w:rsidR="004B63C8" w:rsidRDefault="004B63C8" w:rsidP="007E48DD">
      <w:r>
        <w:t>Saltbroen laves ved at væde en ca. 1 cm bred strimmel filtrerpapir i en 10% NH</w:t>
      </w:r>
      <w:r>
        <w:rPr>
          <w:vertAlign w:val="subscript"/>
        </w:rPr>
        <w:t>4</w:t>
      </w:r>
      <w:r>
        <w:t>NO</w:t>
      </w:r>
      <w:r>
        <w:rPr>
          <w:vertAlign w:val="subscript"/>
        </w:rPr>
        <w:t>3</w:t>
      </w:r>
      <w:r>
        <w:t xml:space="preserve">-opløsning, som man bekvemt kan have liggende i en petriskål. Rens kobbertråden og </w:t>
      </w:r>
      <w:r>
        <w:lastRenderedPageBreak/>
        <w:t xml:space="preserve">sølvtråden grundigt med ståluld, skyl dem med </w:t>
      </w:r>
      <w:r w:rsidR="009C4EBB">
        <w:t xml:space="preserve">demineraliseret </w:t>
      </w:r>
      <w:r>
        <w:t>vand og anbring dem i de respektive opløsninger.</w:t>
      </w:r>
      <w:r w:rsidR="00B31898">
        <w:t xml:space="preserve"> Metaltrådene må hverken røre siderne af glasset eller saltbroen under målingen. </w:t>
      </w:r>
    </w:p>
    <w:p w14:paraId="68149BD6" w14:textId="77777777" w:rsidR="004B63C8" w:rsidRDefault="004B63C8" w:rsidP="007E48DD"/>
    <w:p w14:paraId="439F67E2" w14:textId="2BF5C981" w:rsidR="00B31898" w:rsidRPr="00B31898" w:rsidRDefault="00B31898" w:rsidP="007E48DD">
      <w:r>
        <w:t>Metaltrådene forbindes til voltmeteret ved hjælp af to ledninger med isolerede krokodillenæb. Vælg det måleområde, som giver den mest nøjagtige måling og aflæs U</w:t>
      </w:r>
      <w:r>
        <w:rPr>
          <w:vertAlign w:val="subscript"/>
        </w:rPr>
        <w:t>0</w:t>
      </w:r>
      <w:r>
        <w:t xml:space="preserve"> når apparatets visning har stabiliseret sig.</w:t>
      </w:r>
    </w:p>
    <w:p w14:paraId="69457EBD" w14:textId="77777777" w:rsidR="004B63C8" w:rsidRDefault="004B63C8" w:rsidP="007E48DD"/>
    <w:p w14:paraId="0F403055" w14:textId="1B3AE46B" w:rsidR="00B31898" w:rsidRDefault="00351360" w:rsidP="007E48DD">
      <w:r>
        <w:t xml:space="preserve">De øvrige målinger udføres på samme måde, hver gang med en 3 gange lavere </w:t>
      </w:r>
      <w:proofErr w:type="spellStart"/>
      <w:r>
        <w:t>sølvionkoncentration</w:t>
      </w:r>
      <w:proofErr w:type="spellEnd"/>
      <w:r>
        <w:t xml:space="preserve">. Fortyndingen foretages ved at udtage 10,0 </w:t>
      </w:r>
      <w:proofErr w:type="spellStart"/>
      <w:r>
        <w:t>mL</w:t>
      </w:r>
      <w:proofErr w:type="spellEnd"/>
      <w:r>
        <w:t xml:space="preserve"> af sølvnitratopløsningen i sølvhalvcellen med en automatpipette. Disse 10,0 </w:t>
      </w:r>
      <w:proofErr w:type="spellStart"/>
      <w:r>
        <w:t>mL</w:t>
      </w:r>
      <w:proofErr w:type="spellEnd"/>
      <w:r>
        <w:t xml:space="preserve"> hældes ud. Derefter udtages yderligere 10,0 </w:t>
      </w:r>
      <w:proofErr w:type="spellStart"/>
      <w:r>
        <w:t>mL</w:t>
      </w:r>
      <w:proofErr w:type="spellEnd"/>
      <w:r>
        <w:t xml:space="preserve"> med den samme pipette og det resterende indhold i sølvhalvcellen hældes ud. Bægerglasset skylles med demineraliseret vand og så meget som muligt af vandet rystes af. Derpå hældes de 10,0 </w:t>
      </w:r>
      <w:proofErr w:type="spellStart"/>
      <w:r>
        <w:t>mL</w:t>
      </w:r>
      <w:proofErr w:type="spellEnd"/>
      <w:r>
        <w:t xml:space="preserve"> sølvnitratopløsning tilbage i glasset. Med en anden pipette tilsætte nu 2x10mL demineraliseret vand</w:t>
      </w:r>
      <w:r w:rsidR="001A2315">
        <w:t xml:space="preserve">. Koncentrationen af </w:t>
      </w:r>
      <w:proofErr w:type="spellStart"/>
      <w:r w:rsidR="001A2315">
        <w:t>sølvioner</w:t>
      </w:r>
      <w:proofErr w:type="spellEnd"/>
      <w:r w:rsidR="001A2315">
        <w:t xml:space="preserve"> i glasset er nu 1/3 af koncentrationen i det forrige forsøg.</w:t>
      </w:r>
    </w:p>
    <w:p w14:paraId="11D45E86" w14:textId="77777777" w:rsidR="001A2315" w:rsidRDefault="001A2315" w:rsidP="007E48DD"/>
    <w:p w14:paraId="61A7DC0F" w14:textId="4C957762" w:rsidR="007E48DD" w:rsidRDefault="001A2315" w:rsidP="001A2315">
      <w:r>
        <w:t xml:space="preserve">Foretag målinger med de </w:t>
      </w:r>
      <w:proofErr w:type="spellStart"/>
      <w:r>
        <w:t>sølvionkoncentrationer</w:t>
      </w:r>
      <w:proofErr w:type="spellEnd"/>
      <w:r>
        <w:t xml:space="preserve"> der er angivet i skemaet under resultater.</w:t>
      </w:r>
    </w:p>
    <w:p w14:paraId="7FB203C9" w14:textId="77777777" w:rsidR="008E473C" w:rsidRDefault="008E473C" w:rsidP="0000615B">
      <w:pPr>
        <w:pStyle w:val="Overskrift2"/>
      </w:pPr>
      <w:r>
        <w:t>Resultater</w:t>
      </w:r>
    </w:p>
    <w:p w14:paraId="6B483C24" w14:textId="77777777" w:rsidR="006673FC" w:rsidRPr="006673FC" w:rsidRDefault="005A4C09" w:rsidP="006673FC">
      <w:r>
        <w:tab/>
      </w:r>
    </w:p>
    <w:tbl>
      <w:tblPr>
        <w:tblStyle w:val="Tabelgitter"/>
        <w:tblW w:w="9740" w:type="dxa"/>
        <w:tblInd w:w="108" w:type="dxa"/>
        <w:tblLook w:val="04A0" w:firstRow="1" w:lastRow="0" w:firstColumn="1" w:lastColumn="0" w:noHBand="0" w:noVBand="1"/>
      </w:tblPr>
      <w:tblGrid>
        <w:gridCol w:w="1109"/>
        <w:gridCol w:w="2877"/>
        <w:gridCol w:w="2877"/>
        <w:gridCol w:w="2877"/>
      </w:tblGrid>
      <w:tr w:rsidR="001A2315" w:rsidRPr="008E473C" w14:paraId="003B02D5" w14:textId="3C4065A7" w:rsidTr="001A2315">
        <w:trPr>
          <w:trHeight w:val="567"/>
        </w:trPr>
        <w:tc>
          <w:tcPr>
            <w:tcW w:w="1092" w:type="dxa"/>
            <w:vAlign w:val="center"/>
          </w:tcPr>
          <w:p w14:paraId="4D381050" w14:textId="77777777" w:rsidR="001A2315" w:rsidRPr="008E473C" w:rsidRDefault="001A2315" w:rsidP="008E473C">
            <w:pPr>
              <w:jc w:val="center"/>
              <w:rPr>
                <w:b/>
              </w:rPr>
            </w:pPr>
            <w:r w:rsidRPr="008E473C">
              <w:rPr>
                <w:b/>
              </w:rPr>
              <w:t>Forsøg</w:t>
            </w:r>
          </w:p>
        </w:tc>
        <w:tc>
          <w:tcPr>
            <w:tcW w:w="2835" w:type="dxa"/>
            <w:vAlign w:val="center"/>
          </w:tcPr>
          <w:p w14:paraId="7AD6A1CE" w14:textId="0BC799DE" w:rsidR="001A2315" w:rsidRPr="008E473C" w:rsidRDefault="001A2315" w:rsidP="008E473C">
            <w:pPr>
              <w:jc w:val="center"/>
              <w:rPr>
                <w:b/>
              </w:rPr>
            </w:pPr>
            <w:r>
              <w:rPr>
                <w:b/>
              </w:rPr>
              <w:t>[Ag</w:t>
            </w:r>
            <w:r>
              <w:rPr>
                <w:b/>
                <w:vertAlign w:val="superscript"/>
              </w:rPr>
              <w:t>+</w:t>
            </w:r>
            <w:r>
              <w:rPr>
                <w:b/>
              </w:rPr>
              <w:t>]</w:t>
            </w:r>
          </w:p>
        </w:tc>
        <w:tc>
          <w:tcPr>
            <w:tcW w:w="2835" w:type="dxa"/>
            <w:vAlign w:val="center"/>
          </w:tcPr>
          <w:p w14:paraId="170A4663" w14:textId="77777777" w:rsidR="001A2315" w:rsidRPr="008E473C" w:rsidRDefault="001A2315" w:rsidP="008E473C">
            <w:pPr>
              <w:jc w:val="center"/>
              <w:rPr>
                <w:b/>
              </w:rPr>
            </w:pPr>
            <w:r w:rsidRPr="008E473C">
              <w:rPr>
                <w:b/>
              </w:rPr>
              <w:t>U</w:t>
            </w:r>
            <w:r w:rsidRPr="008E473C">
              <w:rPr>
                <w:b/>
                <w:vertAlign w:val="subscript"/>
              </w:rPr>
              <w:t>0</w:t>
            </w:r>
          </w:p>
        </w:tc>
        <w:tc>
          <w:tcPr>
            <w:tcW w:w="2835" w:type="dxa"/>
            <w:vAlign w:val="center"/>
          </w:tcPr>
          <w:p w14:paraId="0D888466" w14:textId="619A4B3F" w:rsidR="001A2315" w:rsidRPr="008E473C" w:rsidRDefault="001A2315" w:rsidP="001A2315">
            <w:pPr>
              <w:jc w:val="center"/>
              <w:rPr>
                <w:b/>
              </w:rPr>
            </w:pPr>
            <w:r>
              <w:rPr>
                <w:b/>
              </w:rPr>
              <w:t>log[Ag</w:t>
            </w:r>
            <w:r>
              <w:rPr>
                <w:b/>
                <w:vertAlign w:val="superscript"/>
              </w:rPr>
              <w:t>+</w:t>
            </w:r>
            <w:r>
              <w:rPr>
                <w:b/>
              </w:rPr>
              <w:t>]</w:t>
            </w:r>
          </w:p>
        </w:tc>
      </w:tr>
      <w:tr w:rsidR="001A2315" w:rsidRPr="008E473C" w14:paraId="3A517014" w14:textId="494BF088" w:rsidTr="001A2315">
        <w:trPr>
          <w:trHeight w:val="567"/>
        </w:trPr>
        <w:tc>
          <w:tcPr>
            <w:tcW w:w="1092" w:type="dxa"/>
            <w:vAlign w:val="center"/>
          </w:tcPr>
          <w:p w14:paraId="72E86810" w14:textId="77777777" w:rsidR="001A2315" w:rsidRPr="008E473C" w:rsidRDefault="001A2315" w:rsidP="008E473C">
            <w:pPr>
              <w:jc w:val="center"/>
              <w:rPr>
                <w:b/>
              </w:rPr>
            </w:pPr>
            <w:r w:rsidRPr="008E473C">
              <w:rPr>
                <w:b/>
              </w:rPr>
              <w:t>1.</w:t>
            </w:r>
          </w:p>
        </w:tc>
        <w:tc>
          <w:tcPr>
            <w:tcW w:w="2835" w:type="dxa"/>
            <w:vAlign w:val="center"/>
          </w:tcPr>
          <w:p w14:paraId="58ED20FA" w14:textId="456E285B" w:rsidR="001A2315" w:rsidRPr="00E01AD4" w:rsidRDefault="001A2315" w:rsidP="001A2315">
            <w:pPr>
              <w:jc w:val="center"/>
            </w:pPr>
            <w:r w:rsidRPr="00E01AD4">
              <w:t xml:space="preserve">1,00 </w:t>
            </w:r>
            <w:r w:rsidRPr="00E01AD4">
              <w:rPr>
                <w:vertAlign w:val="superscript"/>
              </w:rPr>
              <w:t>.</w:t>
            </w:r>
            <w:r w:rsidRPr="00E01AD4">
              <w:t xml:space="preserve"> 10</w:t>
            </w:r>
            <w:r w:rsidRPr="00E01AD4">
              <w:rPr>
                <w:vertAlign w:val="superscript"/>
              </w:rPr>
              <w:t>-1</w:t>
            </w:r>
            <w:r w:rsidRPr="00E01AD4">
              <w:t xml:space="preserve"> M</w:t>
            </w:r>
          </w:p>
        </w:tc>
        <w:tc>
          <w:tcPr>
            <w:tcW w:w="2835" w:type="dxa"/>
            <w:vAlign w:val="center"/>
          </w:tcPr>
          <w:p w14:paraId="1C170617" w14:textId="77777777" w:rsidR="001A2315" w:rsidRPr="00E01AD4" w:rsidRDefault="001A2315" w:rsidP="008E473C">
            <w:pPr>
              <w:jc w:val="center"/>
            </w:pPr>
          </w:p>
        </w:tc>
        <w:tc>
          <w:tcPr>
            <w:tcW w:w="2835" w:type="dxa"/>
            <w:vAlign w:val="center"/>
          </w:tcPr>
          <w:p w14:paraId="01576315" w14:textId="77777777" w:rsidR="001A2315" w:rsidRPr="00E01AD4" w:rsidRDefault="001A2315" w:rsidP="001A2315">
            <w:pPr>
              <w:jc w:val="center"/>
            </w:pPr>
          </w:p>
        </w:tc>
      </w:tr>
      <w:tr w:rsidR="001A2315" w:rsidRPr="008E473C" w14:paraId="15719CB5" w14:textId="1080CFA9" w:rsidTr="001A2315">
        <w:trPr>
          <w:trHeight w:val="567"/>
        </w:trPr>
        <w:tc>
          <w:tcPr>
            <w:tcW w:w="1092" w:type="dxa"/>
            <w:vAlign w:val="center"/>
          </w:tcPr>
          <w:p w14:paraId="6145934B" w14:textId="77777777" w:rsidR="001A2315" w:rsidRPr="008E473C" w:rsidRDefault="001A2315" w:rsidP="008E473C">
            <w:pPr>
              <w:jc w:val="center"/>
              <w:rPr>
                <w:b/>
              </w:rPr>
            </w:pPr>
            <w:r w:rsidRPr="008E473C">
              <w:rPr>
                <w:b/>
              </w:rPr>
              <w:t>2.</w:t>
            </w:r>
          </w:p>
        </w:tc>
        <w:tc>
          <w:tcPr>
            <w:tcW w:w="2835" w:type="dxa"/>
            <w:vAlign w:val="center"/>
          </w:tcPr>
          <w:p w14:paraId="453090E4" w14:textId="0F627782" w:rsidR="001A2315" w:rsidRPr="00E01AD4" w:rsidRDefault="001A2315" w:rsidP="001A2315">
            <w:pPr>
              <w:jc w:val="center"/>
            </w:pPr>
            <w:r w:rsidRPr="00E01AD4">
              <w:t xml:space="preserve">3,33 </w:t>
            </w:r>
            <w:r w:rsidRPr="00E01AD4">
              <w:rPr>
                <w:vertAlign w:val="superscript"/>
              </w:rPr>
              <w:t>.</w:t>
            </w:r>
            <w:r w:rsidRPr="00E01AD4">
              <w:t xml:space="preserve"> 10</w:t>
            </w:r>
            <w:r w:rsidRPr="00E01AD4">
              <w:rPr>
                <w:vertAlign w:val="superscript"/>
              </w:rPr>
              <w:t>-2</w:t>
            </w:r>
            <w:r w:rsidRPr="00E01AD4">
              <w:t xml:space="preserve"> M</w:t>
            </w:r>
          </w:p>
        </w:tc>
        <w:tc>
          <w:tcPr>
            <w:tcW w:w="2835" w:type="dxa"/>
            <w:vAlign w:val="center"/>
          </w:tcPr>
          <w:p w14:paraId="73336333" w14:textId="77777777" w:rsidR="001A2315" w:rsidRPr="00E01AD4" w:rsidRDefault="001A2315" w:rsidP="008E473C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8AB2E42" w14:textId="77777777" w:rsidR="001A2315" w:rsidRPr="00E01AD4" w:rsidRDefault="001A2315" w:rsidP="001A2315">
            <w:pPr>
              <w:jc w:val="center"/>
            </w:pPr>
          </w:p>
        </w:tc>
      </w:tr>
      <w:tr w:rsidR="001A2315" w:rsidRPr="008E473C" w14:paraId="0AC79F3E" w14:textId="1A1A713C" w:rsidTr="001A2315">
        <w:trPr>
          <w:trHeight w:val="567"/>
        </w:trPr>
        <w:tc>
          <w:tcPr>
            <w:tcW w:w="1092" w:type="dxa"/>
            <w:vAlign w:val="center"/>
          </w:tcPr>
          <w:p w14:paraId="429584ED" w14:textId="77777777" w:rsidR="001A2315" w:rsidRPr="008E473C" w:rsidRDefault="001A2315" w:rsidP="008E473C">
            <w:pPr>
              <w:jc w:val="center"/>
              <w:rPr>
                <w:b/>
              </w:rPr>
            </w:pPr>
            <w:r w:rsidRPr="008E473C">
              <w:rPr>
                <w:b/>
              </w:rPr>
              <w:t>3.</w:t>
            </w:r>
          </w:p>
        </w:tc>
        <w:tc>
          <w:tcPr>
            <w:tcW w:w="2835" w:type="dxa"/>
            <w:vAlign w:val="center"/>
          </w:tcPr>
          <w:p w14:paraId="7D194246" w14:textId="4F354944" w:rsidR="001A2315" w:rsidRPr="00E01AD4" w:rsidRDefault="001A2315" w:rsidP="008E473C">
            <w:pPr>
              <w:jc w:val="center"/>
            </w:pPr>
            <w:r w:rsidRPr="00E01AD4">
              <w:t xml:space="preserve">1,11 </w:t>
            </w:r>
            <w:r w:rsidRPr="00E01AD4">
              <w:rPr>
                <w:vertAlign w:val="superscript"/>
              </w:rPr>
              <w:t>.</w:t>
            </w:r>
            <w:r w:rsidRPr="00E01AD4">
              <w:t xml:space="preserve"> 10</w:t>
            </w:r>
            <w:r w:rsidRPr="00E01AD4">
              <w:rPr>
                <w:vertAlign w:val="superscript"/>
              </w:rPr>
              <w:t>-2</w:t>
            </w:r>
            <w:r w:rsidRPr="00E01AD4">
              <w:t xml:space="preserve"> M</w:t>
            </w:r>
          </w:p>
        </w:tc>
        <w:tc>
          <w:tcPr>
            <w:tcW w:w="2835" w:type="dxa"/>
            <w:vAlign w:val="center"/>
          </w:tcPr>
          <w:p w14:paraId="4D1070E3" w14:textId="77777777" w:rsidR="001A2315" w:rsidRPr="00E01AD4" w:rsidRDefault="001A2315" w:rsidP="008E473C">
            <w:pPr>
              <w:jc w:val="center"/>
            </w:pPr>
          </w:p>
        </w:tc>
        <w:tc>
          <w:tcPr>
            <w:tcW w:w="2835" w:type="dxa"/>
            <w:vAlign w:val="center"/>
          </w:tcPr>
          <w:p w14:paraId="0376BF1A" w14:textId="77777777" w:rsidR="001A2315" w:rsidRPr="00E01AD4" w:rsidRDefault="001A2315" w:rsidP="001A2315">
            <w:pPr>
              <w:jc w:val="center"/>
            </w:pPr>
            <w:bookmarkStart w:id="0" w:name="_GoBack"/>
            <w:bookmarkEnd w:id="0"/>
          </w:p>
        </w:tc>
      </w:tr>
      <w:tr w:rsidR="001A2315" w:rsidRPr="008E473C" w14:paraId="523EFFC5" w14:textId="7D8DF3AD" w:rsidTr="001A2315">
        <w:trPr>
          <w:trHeight w:val="567"/>
        </w:trPr>
        <w:tc>
          <w:tcPr>
            <w:tcW w:w="1092" w:type="dxa"/>
            <w:vAlign w:val="center"/>
          </w:tcPr>
          <w:p w14:paraId="2734BAC8" w14:textId="77777777" w:rsidR="001A2315" w:rsidRPr="008E473C" w:rsidRDefault="001A2315" w:rsidP="008E473C">
            <w:pPr>
              <w:jc w:val="center"/>
              <w:rPr>
                <w:b/>
              </w:rPr>
            </w:pPr>
            <w:r w:rsidRPr="008E473C">
              <w:rPr>
                <w:b/>
              </w:rPr>
              <w:t>4.</w:t>
            </w:r>
          </w:p>
        </w:tc>
        <w:tc>
          <w:tcPr>
            <w:tcW w:w="2835" w:type="dxa"/>
            <w:vAlign w:val="center"/>
          </w:tcPr>
          <w:p w14:paraId="2CEE5968" w14:textId="5B58E8F2" w:rsidR="001A2315" w:rsidRPr="00E01AD4" w:rsidRDefault="001A2315" w:rsidP="008E473C">
            <w:pPr>
              <w:jc w:val="center"/>
            </w:pPr>
            <w:r w:rsidRPr="00E01AD4">
              <w:t xml:space="preserve">3,70 </w:t>
            </w:r>
            <w:r w:rsidRPr="00E01AD4">
              <w:rPr>
                <w:vertAlign w:val="superscript"/>
              </w:rPr>
              <w:t>.</w:t>
            </w:r>
            <w:r w:rsidRPr="00E01AD4">
              <w:t xml:space="preserve"> 10</w:t>
            </w:r>
            <w:r w:rsidRPr="00E01AD4">
              <w:rPr>
                <w:vertAlign w:val="superscript"/>
              </w:rPr>
              <w:t>-3</w:t>
            </w:r>
            <w:r w:rsidRPr="00E01AD4">
              <w:t xml:space="preserve"> M</w:t>
            </w:r>
          </w:p>
        </w:tc>
        <w:tc>
          <w:tcPr>
            <w:tcW w:w="2835" w:type="dxa"/>
            <w:vAlign w:val="center"/>
          </w:tcPr>
          <w:p w14:paraId="4EE8C0F3" w14:textId="77777777" w:rsidR="001A2315" w:rsidRPr="00E01AD4" w:rsidRDefault="001A2315" w:rsidP="008E473C">
            <w:pPr>
              <w:jc w:val="center"/>
            </w:pPr>
          </w:p>
        </w:tc>
        <w:tc>
          <w:tcPr>
            <w:tcW w:w="2835" w:type="dxa"/>
            <w:vAlign w:val="center"/>
          </w:tcPr>
          <w:p w14:paraId="49CA2CA2" w14:textId="77777777" w:rsidR="001A2315" w:rsidRPr="00E01AD4" w:rsidRDefault="001A2315" w:rsidP="001A2315">
            <w:pPr>
              <w:jc w:val="center"/>
            </w:pPr>
          </w:p>
        </w:tc>
      </w:tr>
      <w:tr w:rsidR="001A2315" w:rsidRPr="008E473C" w14:paraId="02BDF1CB" w14:textId="6C1F1532" w:rsidTr="001A2315">
        <w:trPr>
          <w:trHeight w:val="567"/>
        </w:trPr>
        <w:tc>
          <w:tcPr>
            <w:tcW w:w="1092" w:type="dxa"/>
            <w:vAlign w:val="center"/>
          </w:tcPr>
          <w:p w14:paraId="55E70C12" w14:textId="77777777" w:rsidR="001A2315" w:rsidRPr="008E473C" w:rsidRDefault="001A2315" w:rsidP="008E473C">
            <w:pPr>
              <w:jc w:val="center"/>
              <w:rPr>
                <w:b/>
              </w:rPr>
            </w:pPr>
            <w:r w:rsidRPr="008E473C">
              <w:rPr>
                <w:b/>
              </w:rPr>
              <w:t>5.</w:t>
            </w:r>
          </w:p>
        </w:tc>
        <w:tc>
          <w:tcPr>
            <w:tcW w:w="2835" w:type="dxa"/>
            <w:vAlign w:val="center"/>
          </w:tcPr>
          <w:p w14:paraId="1BC6F0C6" w14:textId="3AEF6894" w:rsidR="001A2315" w:rsidRPr="00E01AD4" w:rsidRDefault="001A2315" w:rsidP="008E473C">
            <w:pPr>
              <w:jc w:val="center"/>
            </w:pPr>
            <w:r w:rsidRPr="00E01AD4">
              <w:t xml:space="preserve">1,23 </w:t>
            </w:r>
            <w:r w:rsidRPr="00E01AD4">
              <w:rPr>
                <w:vertAlign w:val="superscript"/>
              </w:rPr>
              <w:t>.</w:t>
            </w:r>
            <w:r w:rsidRPr="00E01AD4">
              <w:t xml:space="preserve"> 10</w:t>
            </w:r>
            <w:r w:rsidRPr="00E01AD4">
              <w:rPr>
                <w:vertAlign w:val="superscript"/>
              </w:rPr>
              <w:t>-3</w:t>
            </w:r>
            <w:r w:rsidRPr="00E01AD4">
              <w:t xml:space="preserve"> M</w:t>
            </w:r>
          </w:p>
        </w:tc>
        <w:tc>
          <w:tcPr>
            <w:tcW w:w="2835" w:type="dxa"/>
            <w:vAlign w:val="center"/>
          </w:tcPr>
          <w:p w14:paraId="3A0F946D" w14:textId="77777777" w:rsidR="001A2315" w:rsidRPr="00E01AD4" w:rsidRDefault="001A2315" w:rsidP="008E473C">
            <w:pPr>
              <w:jc w:val="center"/>
            </w:pPr>
          </w:p>
        </w:tc>
        <w:tc>
          <w:tcPr>
            <w:tcW w:w="2835" w:type="dxa"/>
            <w:vAlign w:val="center"/>
          </w:tcPr>
          <w:p w14:paraId="7F7D10E7" w14:textId="77777777" w:rsidR="001A2315" w:rsidRPr="00E01AD4" w:rsidRDefault="001A2315" w:rsidP="001A2315">
            <w:pPr>
              <w:jc w:val="center"/>
            </w:pPr>
          </w:p>
        </w:tc>
      </w:tr>
      <w:tr w:rsidR="001A2315" w:rsidRPr="008E473C" w14:paraId="61FA1350" w14:textId="7BFE63ED" w:rsidTr="001A2315">
        <w:trPr>
          <w:trHeight w:val="567"/>
        </w:trPr>
        <w:tc>
          <w:tcPr>
            <w:tcW w:w="1092" w:type="dxa"/>
            <w:vAlign w:val="center"/>
          </w:tcPr>
          <w:p w14:paraId="4BF1A434" w14:textId="77777777" w:rsidR="001A2315" w:rsidRPr="008E473C" w:rsidRDefault="001A2315" w:rsidP="008E473C">
            <w:pPr>
              <w:jc w:val="center"/>
              <w:rPr>
                <w:b/>
              </w:rPr>
            </w:pPr>
            <w:r w:rsidRPr="008E473C">
              <w:rPr>
                <w:b/>
              </w:rPr>
              <w:t>6.</w:t>
            </w:r>
          </w:p>
        </w:tc>
        <w:tc>
          <w:tcPr>
            <w:tcW w:w="2835" w:type="dxa"/>
            <w:vAlign w:val="center"/>
          </w:tcPr>
          <w:p w14:paraId="10354639" w14:textId="46B6C9D8" w:rsidR="001A2315" w:rsidRPr="00E01AD4" w:rsidRDefault="001A2315" w:rsidP="008E473C">
            <w:pPr>
              <w:jc w:val="center"/>
            </w:pPr>
            <w:r w:rsidRPr="00E01AD4">
              <w:t xml:space="preserve">4,12 </w:t>
            </w:r>
            <w:r w:rsidRPr="00E01AD4">
              <w:rPr>
                <w:vertAlign w:val="superscript"/>
              </w:rPr>
              <w:t>.</w:t>
            </w:r>
            <w:r w:rsidRPr="00E01AD4">
              <w:t xml:space="preserve"> 10</w:t>
            </w:r>
            <w:r w:rsidRPr="00E01AD4">
              <w:rPr>
                <w:vertAlign w:val="superscript"/>
              </w:rPr>
              <w:t>-4</w:t>
            </w:r>
            <w:r w:rsidRPr="00E01AD4">
              <w:t xml:space="preserve"> M</w:t>
            </w:r>
          </w:p>
        </w:tc>
        <w:tc>
          <w:tcPr>
            <w:tcW w:w="2835" w:type="dxa"/>
            <w:vAlign w:val="center"/>
          </w:tcPr>
          <w:p w14:paraId="66D3AF54" w14:textId="77777777" w:rsidR="001A2315" w:rsidRPr="00E01AD4" w:rsidRDefault="001A2315" w:rsidP="008E473C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94C7E98" w14:textId="77777777" w:rsidR="001A2315" w:rsidRPr="00E01AD4" w:rsidRDefault="001A2315" w:rsidP="001A2315">
            <w:pPr>
              <w:jc w:val="center"/>
            </w:pPr>
          </w:p>
        </w:tc>
      </w:tr>
      <w:tr w:rsidR="001A2315" w:rsidRPr="008E473C" w14:paraId="3B620527" w14:textId="77777777" w:rsidTr="001A2315">
        <w:trPr>
          <w:trHeight w:val="567"/>
        </w:trPr>
        <w:tc>
          <w:tcPr>
            <w:tcW w:w="1092" w:type="dxa"/>
            <w:vAlign w:val="center"/>
          </w:tcPr>
          <w:p w14:paraId="627310E3" w14:textId="221E79D2" w:rsidR="001A2315" w:rsidRPr="008E473C" w:rsidRDefault="001A2315" w:rsidP="008E473C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835" w:type="dxa"/>
            <w:vAlign w:val="center"/>
          </w:tcPr>
          <w:p w14:paraId="735BC0E2" w14:textId="1FD01099" w:rsidR="001A2315" w:rsidRPr="00E01AD4" w:rsidRDefault="001A2315" w:rsidP="008E473C">
            <w:pPr>
              <w:jc w:val="center"/>
            </w:pPr>
            <w:r w:rsidRPr="00E01AD4">
              <w:t xml:space="preserve">1,37 </w:t>
            </w:r>
            <w:r w:rsidRPr="00E01AD4">
              <w:rPr>
                <w:vertAlign w:val="superscript"/>
              </w:rPr>
              <w:t>.</w:t>
            </w:r>
            <w:r w:rsidRPr="00E01AD4">
              <w:t xml:space="preserve"> 10</w:t>
            </w:r>
            <w:r w:rsidRPr="00E01AD4">
              <w:rPr>
                <w:vertAlign w:val="superscript"/>
              </w:rPr>
              <w:t>-4</w:t>
            </w:r>
            <w:r w:rsidRPr="00E01AD4">
              <w:t xml:space="preserve"> M</w:t>
            </w:r>
          </w:p>
        </w:tc>
        <w:tc>
          <w:tcPr>
            <w:tcW w:w="2835" w:type="dxa"/>
            <w:vAlign w:val="center"/>
          </w:tcPr>
          <w:p w14:paraId="220397F0" w14:textId="77777777" w:rsidR="001A2315" w:rsidRPr="00E01AD4" w:rsidRDefault="001A2315" w:rsidP="008E473C">
            <w:pPr>
              <w:jc w:val="center"/>
            </w:pPr>
          </w:p>
        </w:tc>
        <w:tc>
          <w:tcPr>
            <w:tcW w:w="2835" w:type="dxa"/>
            <w:vAlign w:val="center"/>
          </w:tcPr>
          <w:p w14:paraId="7EE89326" w14:textId="77777777" w:rsidR="001A2315" w:rsidRPr="00E01AD4" w:rsidRDefault="001A2315" w:rsidP="001A2315">
            <w:pPr>
              <w:jc w:val="center"/>
            </w:pPr>
          </w:p>
        </w:tc>
      </w:tr>
    </w:tbl>
    <w:p w14:paraId="51C3D02F" w14:textId="77777777" w:rsidR="008E473C" w:rsidRPr="008E473C" w:rsidRDefault="008E473C" w:rsidP="008E473C"/>
    <w:p w14:paraId="60167908" w14:textId="77777777" w:rsidR="0000615B" w:rsidRDefault="0000615B" w:rsidP="0000615B">
      <w:pPr>
        <w:pStyle w:val="Overskrift2"/>
      </w:pPr>
      <w:r>
        <w:t>Efterbehandling</w:t>
      </w:r>
    </w:p>
    <w:p w14:paraId="597DDA96" w14:textId="2485EFC0" w:rsidR="005A4C09" w:rsidRDefault="00E01AD4" w:rsidP="005A4C09">
      <w:pPr>
        <w:pStyle w:val="Listeafsnit"/>
        <w:numPr>
          <w:ilvl w:val="0"/>
          <w:numId w:val="1"/>
        </w:numPr>
      </w:pPr>
      <w:r>
        <w:t>Afbild U</w:t>
      </w:r>
      <w:r w:rsidRPr="00E01AD4">
        <w:rPr>
          <w:vertAlign w:val="subscript"/>
        </w:rPr>
        <w:t>0</w:t>
      </w:r>
      <w:r>
        <w:t xml:space="preserve"> som funktion af 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t>.</w:t>
      </w:r>
    </w:p>
    <w:p w14:paraId="25DCB96C" w14:textId="77777777" w:rsidR="00E01AD4" w:rsidRDefault="00E01AD4" w:rsidP="00E01AD4">
      <w:pPr>
        <w:pStyle w:val="Listeafsnit"/>
      </w:pPr>
    </w:p>
    <w:p w14:paraId="3442B1FE" w14:textId="298D6B67" w:rsidR="00E01AD4" w:rsidRDefault="00E01AD4" w:rsidP="00E01AD4">
      <w:pPr>
        <w:pStyle w:val="Listeafsnit"/>
        <w:numPr>
          <w:ilvl w:val="0"/>
          <w:numId w:val="1"/>
        </w:numPr>
      </w:pPr>
      <w:r>
        <w:t xml:space="preserve">Er </w:t>
      </w:r>
      <w:proofErr w:type="spellStart"/>
      <w:r>
        <w:t>Nersts</w:t>
      </w:r>
      <w:proofErr w:type="spellEnd"/>
      <w:r>
        <w:t xml:space="preserve"> lov blevet eftervist?</w:t>
      </w:r>
    </w:p>
    <w:p w14:paraId="00F9A328" w14:textId="77777777" w:rsidR="00E01AD4" w:rsidRDefault="00E01AD4" w:rsidP="00E01AD4"/>
    <w:p w14:paraId="315E1287" w14:textId="1F5D6BC7" w:rsidR="00E01AD4" w:rsidRPr="006673FC" w:rsidRDefault="00E01AD4" w:rsidP="00E01AD4">
      <w:pPr>
        <w:pStyle w:val="Listeafsnit"/>
        <w:numPr>
          <w:ilvl w:val="0"/>
          <w:numId w:val="1"/>
        </w:numPr>
      </w:pPr>
      <w:r>
        <w:t xml:space="preserve">Aflæs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⊖</m:t>
            </m:r>
          </m:sup>
        </m:sSubSup>
      </m:oMath>
      <w:r>
        <w:t xml:space="preserve"> på den grafiske afbildning og sammenlign med tabelværdi.</w:t>
      </w:r>
    </w:p>
    <w:sectPr w:rsidR="00E01AD4" w:rsidRPr="006673FC" w:rsidSect="0077592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7AF69" w14:textId="77777777" w:rsidR="00E01AD4" w:rsidRDefault="00E01AD4" w:rsidP="00E01AD4">
      <w:r>
        <w:separator/>
      </w:r>
    </w:p>
  </w:endnote>
  <w:endnote w:type="continuationSeparator" w:id="0">
    <w:p w14:paraId="42DD3FF8" w14:textId="77777777" w:rsidR="00E01AD4" w:rsidRDefault="00E01AD4" w:rsidP="00E0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1F083" w14:textId="77777777" w:rsidR="00E01AD4" w:rsidRDefault="00E01AD4" w:rsidP="00E01AD4">
      <w:r>
        <w:separator/>
      </w:r>
    </w:p>
  </w:footnote>
  <w:footnote w:type="continuationSeparator" w:id="0">
    <w:p w14:paraId="1C38FE4D" w14:textId="77777777" w:rsidR="00E01AD4" w:rsidRDefault="00E01AD4" w:rsidP="00E01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5039"/>
    <w:multiLevelType w:val="hybridMultilevel"/>
    <w:tmpl w:val="DAD0D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83EF6"/>
    <w:multiLevelType w:val="hybridMultilevel"/>
    <w:tmpl w:val="24F4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5B"/>
    <w:rsid w:val="0000615B"/>
    <w:rsid w:val="001A2315"/>
    <w:rsid w:val="001E31B3"/>
    <w:rsid w:val="00351360"/>
    <w:rsid w:val="004108DE"/>
    <w:rsid w:val="004B63C8"/>
    <w:rsid w:val="005A4C09"/>
    <w:rsid w:val="00666AFA"/>
    <w:rsid w:val="006673FC"/>
    <w:rsid w:val="00695E70"/>
    <w:rsid w:val="0076282E"/>
    <w:rsid w:val="00775925"/>
    <w:rsid w:val="007E48DD"/>
    <w:rsid w:val="008E473C"/>
    <w:rsid w:val="009C4EBB"/>
    <w:rsid w:val="00B31898"/>
    <w:rsid w:val="00BB3F1C"/>
    <w:rsid w:val="00DB7DB4"/>
    <w:rsid w:val="00E0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89DA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61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0061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0061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061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0615B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0615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61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elgitter">
    <w:name w:val="Table Grid"/>
    <w:basedOn w:val="Tabel-Normal"/>
    <w:uiPriority w:val="59"/>
    <w:rsid w:val="008E4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6673FC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1E31B3"/>
    <w:rPr>
      <w:color w:val="808080"/>
    </w:rPr>
  </w:style>
  <w:style w:type="paragraph" w:styleId="Fodnotetekst">
    <w:name w:val="footnote text"/>
    <w:basedOn w:val="Normal"/>
    <w:link w:val="FodnotetekstTegn"/>
    <w:uiPriority w:val="99"/>
    <w:unhideWhenUsed/>
    <w:rsid w:val="00E01AD4"/>
  </w:style>
  <w:style w:type="character" w:customStyle="1" w:styleId="FodnotetekstTegn">
    <w:name w:val="Fodnotetekst Tegn"/>
    <w:basedOn w:val="Standardskrifttypeiafsnit"/>
    <w:link w:val="Fodnotetekst"/>
    <w:uiPriority w:val="99"/>
    <w:rsid w:val="00E01AD4"/>
  </w:style>
  <w:style w:type="character" w:styleId="Fodnotehenvisning">
    <w:name w:val="footnote reference"/>
    <w:basedOn w:val="Standardskrifttypeiafsnit"/>
    <w:uiPriority w:val="99"/>
    <w:unhideWhenUsed/>
    <w:rsid w:val="00E01AD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61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0061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0061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061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0615B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0615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61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elgitter">
    <w:name w:val="Table Grid"/>
    <w:basedOn w:val="Tabel-Normal"/>
    <w:uiPriority w:val="59"/>
    <w:rsid w:val="008E4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6673FC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1E31B3"/>
    <w:rPr>
      <w:color w:val="808080"/>
    </w:rPr>
  </w:style>
  <w:style w:type="paragraph" w:styleId="Fodnotetekst">
    <w:name w:val="footnote text"/>
    <w:basedOn w:val="Normal"/>
    <w:link w:val="FodnotetekstTegn"/>
    <w:uiPriority w:val="99"/>
    <w:unhideWhenUsed/>
    <w:rsid w:val="00E01AD4"/>
  </w:style>
  <w:style w:type="character" w:customStyle="1" w:styleId="FodnotetekstTegn">
    <w:name w:val="Fodnotetekst Tegn"/>
    <w:basedOn w:val="Standardskrifttypeiafsnit"/>
    <w:link w:val="Fodnotetekst"/>
    <w:uiPriority w:val="99"/>
    <w:rsid w:val="00E01AD4"/>
  </w:style>
  <w:style w:type="character" w:styleId="Fodnotehenvisning">
    <w:name w:val="footnote reference"/>
    <w:basedOn w:val="Standardskrifttypeiafsnit"/>
    <w:uiPriority w:val="99"/>
    <w:unhideWhenUsed/>
    <w:rsid w:val="00E01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B9E97A-291D-3746-B988-5E6785DF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431</Words>
  <Characters>2634</Characters>
  <Application>Microsoft Macintosh Word</Application>
  <DocSecurity>0</DocSecurity>
  <Lines>21</Lines>
  <Paragraphs>6</Paragraphs>
  <ScaleCrop>false</ScaleCrop>
  <Company>Nørre G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8</cp:revision>
  <dcterms:created xsi:type="dcterms:W3CDTF">2016-01-05T11:48:00Z</dcterms:created>
  <dcterms:modified xsi:type="dcterms:W3CDTF">2016-01-15T09:26:00Z</dcterms:modified>
</cp:coreProperties>
</file>