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B28" w:rsidRDefault="0092437B" w:rsidP="0092437B">
      <w:pPr>
        <w:pStyle w:val="Titel"/>
        <w:jc w:val="center"/>
      </w:pPr>
      <w:r>
        <w:t>Bestemmelse af jernindholdet i ståluld</w:t>
      </w:r>
    </w:p>
    <w:p w:rsidR="0092437B" w:rsidRDefault="0092437B" w:rsidP="0092437B">
      <w:pPr>
        <w:pStyle w:val="Overskrift1"/>
      </w:pPr>
      <w:r>
        <w:t>Problemstilling</w:t>
      </w:r>
    </w:p>
    <w:p w:rsidR="0092437B" w:rsidRDefault="0092437B" w:rsidP="0092437B">
      <w:pP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r>
        <w:t>Jern er et af de mest udbredte grundstoffer i jordskorpen og et af de vigtigste brugsmetaller. Ståluld, som man fx bruger til at rense gryder med, består hovedsageligt af jern.  Øvelsen går ud på at bestemme hvor mange procent jern, der er i ståluld.</w:t>
      </w:r>
    </w:p>
    <w:p w:rsidR="0092437B" w:rsidRDefault="0092437B" w:rsidP="0092437B">
      <w:pP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pPr>
      <w:r>
        <w:t>Jernet i stålulden omdannes til jern(II)ioner i fortyndet svovlsyre. Indholdet af jern(II)ioner i opløsningen kan herefter bestemmes ved titrering med en opløsning af kaliumpermanganat, KMnO</w:t>
      </w:r>
      <w:r>
        <w:rPr>
          <w:vertAlign w:val="subscript"/>
        </w:rPr>
        <w:t>4</w:t>
      </w:r>
      <w:r>
        <w:t xml:space="preserve">, idet jern(II)ionerne kan reagere med </w:t>
      </w:r>
      <w:proofErr w:type="spellStart"/>
      <w:r>
        <w:t>permanganationer</w:t>
      </w:r>
      <w:proofErr w:type="spellEnd"/>
      <w:r>
        <w:t>, MnO</w:t>
      </w:r>
      <w:r>
        <w:rPr>
          <w:vertAlign w:val="subscript"/>
        </w:rPr>
        <w:t>4</w:t>
      </w:r>
      <w:r>
        <w:rPr>
          <w:vertAlign w:val="superscript"/>
        </w:rPr>
        <w:t>-</w:t>
      </w:r>
      <w:r>
        <w:t xml:space="preserve">, der har en kraftig violet farve. Ved reaktionen, der foregår i sur opløsning, oxideres jern(II)ionerne, samtidig med, at </w:t>
      </w:r>
      <w:proofErr w:type="spellStart"/>
      <w:r>
        <w:t>permanganationerne</w:t>
      </w:r>
      <w:proofErr w:type="spellEnd"/>
      <w:r>
        <w:t xml:space="preserve"> reduceres til mangan(II)ioner, der er farveløs.</w:t>
      </w:r>
    </w:p>
    <w:p w:rsidR="0092437B" w:rsidRPr="004C5145" w:rsidRDefault="0092437B" w:rsidP="0092437B">
      <w:r w:rsidRPr="004C5145">
        <w:t>Den anvendte permangana</w:t>
      </w:r>
      <w:r>
        <w:t>topløsning må have en veldefine</w:t>
      </w:r>
      <w:r w:rsidRPr="004C5145">
        <w:t>ret koncentration. Selv om kaliumpermanganat fås meget rent, er det ikke muligt at fremstille en opløsning med kendt koncentration ved at opløse en kendt mængde i vand. Kontakt med reducerende stoffer i luft og vand vil ændre koncentrationen. Man må da foretage en bestemmelse af koncentrationen umiddelbart før opløsningen anvendes.</w:t>
      </w:r>
    </w:p>
    <w:p w:rsidR="0092437B" w:rsidRPr="004C5145" w:rsidRDefault="0092437B" w:rsidP="0092437B">
      <w:r w:rsidRPr="004C5145">
        <w:t xml:space="preserve">Hertil anvendes reduktionsmidlet </w:t>
      </w:r>
      <w:proofErr w:type="spellStart"/>
      <w:r w:rsidRPr="004C5145">
        <w:t>natriumoxalat</w:t>
      </w:r>
      <w:proofErr w:type="spellEnd"/>
      <w:r w:rsidRPr="004C5145">
        <w:t>, Na</w:t>
      </w:r>
      <w:r w:rsidRPr="006A2024">
        <w:rPr>
          <w:vertAlign w:val="subscript"/>
        </w:rPr>
        <w:t>2</w:t>
      </w:r>
      <w:r w:rsidRPr="004C5145">
        <w:t>C</w:t>
      </w:r>
      <w:r w:rsidRPr="006A2024">
        <w:rPr>
          <w:rFonts w:cs="Arial"/>
          <w:vertAlign w:val="subscript"/>
        </w:rPr>
        <w:t>2</w:t>
      </w:r>
      <w:r>
        <w:t>O</w:t>
      </w:r>
      <w:r w:rsidRPr="006A2024">
        <w:rPr>
          <w:vertAlign w:val="subscript"/>
        </w:rPr>
        <w:t>4</w:t>
      </w:r>
      <w:r w:rsidRPr="004C5145">
        <w:t>, og reaktionen forløber således:</w:t>
      </w:r>
    </w:p>
    <w:p w:rsidR="0092437B" w:rsidRPr="0092437B" w:rsidRDefault="0092437B" w:rsidP="0092437B">
      <w:pPr>
        <w:rPr>
          <w:sz w:val="20"/>
        </w:rPr>
      </w:pPr>
      <w:r>
        <w:t>MnO</w:t>
      </w:r>
      <w:r>
        <w:rPr>
          <w:vertAlign w:val="subscript"/>
        </w:rPr>
        <w:t>4</w:t>
      </w:r>
      <w:r>
        <w:rPr>
          <w:vertAlign w:val="superscript"/>
        </w:rPr>
        <w:t>-</w:t>
      </w:r>
      <w:r>
        <w:t xml:space="preserve"> + C</w:t>
      </w:r>
      <w:r>
        <w:rPr>
          <w:vertAlign w:val="subscript"/>
        </w:rPr>
        <w:t>2</w:t>
      </w:r>
      <w:r>
        <w:t>O</w:t>
      </w:r>
      <w:r>
        <w:rPr>
          <w:vertAlign w:val="subscript"/>
        </w:rPr>
        <w:t>4</w:t>
      </w:r>
      <w:r>
        <w:rPr>
          <w:vertAlign w:val="superscript"/>
        </w:rPr>
        <w:t xml:space="preserve">2-   </w:t>
      </w:r>
      <w:r w:rsidRPr="005451F3">
        <w:rPr>
          <w:sz w:val="20"/>
        </w:rPr>
        <w:sym w:font="Wingdings" w:char="F0E0"/>
      </w:r>
      <w:r>
        <w:rPr>
          <w:sz w:val="20"/>
        </w:rPr>
        <w:t xml:space="preserve"> Mn</w:t>
      </w:r>
      <w:r>
        <w:rPr>
          <w:sz w:val="20"/>
          <w:vertAlign w:val="superscript"/>
        </w:rPr>
        <w:t>2+</w:t>
      </w:r>
      <w:r>
        <w:rPr>
          <w:sz w:val="20"/>
        </w:rPr>
        <w:t xml:space="preserve"> + CO</w:t>
      </w:r>
      <w:r>
        <w:rPr>
          <w:sz w:val="20"/>
          <w:vertAlign w:val="subscript"/>
        </w:rPr>
        <w:t xml:space="preserve">2 </w:t>
      </w:r>
      <w:r>
        <w:rPr>
          <w:sz w:val="20"/>
        </w:rPr>
        <w:t xml:space="preserve"> (ikke afstemt)</w:t>
      </w:r>
    </w:p>
    <w:p w:rsidR="0092437B" w:rsidRDefault="0092437B" w:rsidP="0092437B">
      <w:r w:rsidRPr="004C5145">
        <w:t>De Mn</w:t>
      </w:r>
      <w:r w:rsidRPr="00C01F89">
        <w:rPr>
          <w:rFonts w:cs="Arial"/>
          <w:vertAlign w:val="superscript"/>
        </w:rPr>
        <w:t>2+</w:t>
      </w:r>
      <w:r>
        <w:rPr>
          <w:rFonts w:cs="Arial"/>
          <w:vertAlign w:val="superscript"/>
        </w:rPr>
        <w:t xml:space="preserve"> </w:t>
      </w:r>
      <w:r w:rsidRPr="004C5145">
        <w:t>-ioner, der dannes</w:t>
      </w:r>
      <w:r>
        <w:t xml:space="preserve"> ved titreringen, er næsten far</w:t>
      </w:r>
      <w:r w:rsidRPr="004C5145">
        <w:t>veløse, medens</w:t>
      </w:r>
      <w:r>
        <w:t xml:space="preserve"> MnO</w:t>
      </w:r>
      <w:r>
        <w:rPr>
          <w:vertAlign w:val="subscript"/>
        </w:rPr>
        <w:t>4</w:t>
      </w:r>
      <w:r>
        <w:rPr>
          <w:vertAlign w:val="superscript"/>
        </w:rPr>
        <w:t>-</w:t>
      </w:r>
      <w:r>
        <w:t>-</w:t>
      </w:r>
      <w:r w:rsidRPr="004C5145">
        <w:t xml:space="preserve">ionerne er kraftigt </w:t>
      </w:r>
      <w:r>
        <w:t>rød</w:t>
      </w:r>
      <w:r w:rsidRPr="004C5145">
        <w:t xml:space="preserve">violette. </w:t>
      </w:r>
    </w:p>
    <w:p w:rsidR="0092437B" w:rsidRDefault="0092437B" w:rsidP="0092437B">
      <w:pPr>
        <w:pStyle w:val="Overskrift1"/>
      </w:pPr>
      <w:r>
        <w:t>Indstilling af permanganat koncentrationen</w:t>
      </w:r>
    </w:p>
    <w:p w:rsidR="0092437B" w:rsidRDefault="0092437B" w:rsidP="0092437B">
      <w:pPr>
        <w:pStyle w:val="Overskrift2"/>
      </w:pPr>
      <w:r>
        <w:t>Apparatur</w:t>
      </w:r>
    </w:p>
    <w:p w:rsidR="0092437B" w:rsidRDefault="0092437B" w:rsidP="0092437B">
      <w:r>
        <w:t>Vægt, nøjagtighed 0,001g, 100ml koniske kolber, måleglas, burette, tragt, vejebåde, sprøjteflaske med destilleret vand,</w:t>
      </w:r>
      <w:r w:rsidR="008E281B">
        <w:t xml:space="preserve"> magnet,</w:t>
      </w:r>
      <w:r>
        <w:t xml:space="preserve"> varmeplade</w:t>
      </w:r>
      <w:r w:rsidR="008E281B">
        <w:t xml:space="preserve"> og magnetomrører.</w:t>
      </w:r>
    </w:p>
    <w:p w:rsidR="0092437B" w:rsidRDefault="0092437B" w:rsidP="0092437B">
      <w:pPr>
        <w:pStyle w:val="Overskrift2"/>
      </w:pPr>
      <w:r>
        <w:t>Kemikalier</w:t>
      </w:r>
    </w:p>
    <w:p w:rsidR="0092437B" w:rsidRDefault="0092437B" w:rsidP="0092437B">
      <w:proofErr w:type="spellStart"/>
      <w:r>
        <w:t>Natriumoxalat</w:t>
      </w:r>
      <w:proofErr w:type="spellEnd"/>
      <w:r>
        <w:t xml:space="preserve">, 2M svovlsyre, </w:t>
      </w:r>
      <w:proofErr w:type="spellStart"/>
      <w:r>
        <w:t>ca</w:t>
      </w:r>
      <w:proofErr w:type="spellEnd"/>
      <w:r>
        <w:t xml:space="preserve"> 0,02M KMnO</w:t>
      </w:r>
      <w:r>
        <w:rPr>
          <w:vertAlign w:val="subscript"/>
        </w:rPr>
        <w:t>4</w:t>
      </w:r>
      <w:r>
        <w:t xml:space="preserve"> </w:t>
      </w:r>
    </w:p>
    <w:p w:rsidR="0092437B" w:rsidRDefault="0092437B" w:rsidP="0092437B">
      <w:pPr>
        <w:pStyle w:val="Overskrift2"/>
      </w:pPr>
      <w:r>
        <w:t>Udførelse</w:t>
      </w:r>
    </w:p>
    <w:p w:rsidR="0092437B" w:rsidRDefault="0092437B" w:rsidP="0092437B">
      <w:r>
        <w:t xml:space="preserve">Afvej ca. 0,1g </w:t>
      </w:r>
      <w:proofErr w:type="spellStart"/>
      <w:r>
        <w:t>natriumoxalat</w:t>
      </w:r>
      <w:proofErr w:type="spellEnd"/>
      <w:r>
        <w:t xml:space="preserve"> nøjagtigt.</w:t>
      </w:r>
    </w:p>
    <w:p w:rsidR="0092437B" w:rsidRDefault="0092437B" w:rsidP="0092437B">
      <w:r>
        <w:t>Ved hjælp af ca. 20 ml destilleret vand skylles stoffet ned i en konisk kolbe, og der tilsættes ca. 30 ml 2M svovlsyre.</w:t>
      </w:r>
      <w:r w:rsidR="005D72F2">
        <w:t xml:space="preserve"> Hvorefter b</w:t>
      </w:r>
      <w:r>
        <w:t xml:space="preserve">landingen opvarmes til ca. 50 </w:t>
      </w:r>
      <w:r>
        <w:rPr>
          <w:rFonts w:cstheme="minorHAnsi"/>
        </w:rPr>
        <w:t>°</w:t>
      </w:r>
      <w:r>
        <w:t xml:space="preserve">C så saltet opløses. </w:t>
      </w:r>
    </w:p>
    <w:p w:rsidR="0092437B" w:rsidRDefault="0092437B" w:rsidP="0092437B">
      <w:r>
        <w:t>Sæt bægerglasset underburetten, og fyld den med opløsningen af kaliumpermanganat. Fjern evt. luftbobler i burettespidsen.</w:t>
      </w:r>
    </w:p>
    <w:p w:rsidR="0092437B" w:rsidRDefault="0092437B" w:rsidP="0092437B">
      <w:r>
        <w:t>Væskestanden i buretten noteres, førsteaflæsning i tabel 1.</w:t>
      </w:r>
    </w:p>
    <w:p w:rsidR="008E281B" w:rsidRDefault="0092437B" w:rsidP="0092437B">
      <w:r>
        <w:lastRenderedPageBreak/>
        <w:t>Når saltet er opløst titreres opløsningen varm</w:t>
      </w:r>
      <w:r w:rsidR="008E281B">
        <w:t xml:space="preserve"> dvs. stadig stående på varmepladen/magnetomrøre</w:t>
      </w:r>
      <w:r w:rsidR="005D72F2">
        <w:t>re</w:t>
      </w:r>
      <w:r w:rsidR="008E281B">
        <w:t>n</w:t>
      </w:r>
      <w:r>
        <w:t>.</w:t>
      </w:r>
      <w:r w:rsidR="00473A05">
        <w:t xml:space="preserve"> Titrer opløsni</w:t>
      </w:r>
      <w:r w:rsidR="005D72F2">
        <w:t>n</w:t>
      </w:r>
      <w:r w:rsidR="00473A05">
        <w:t xml:space="preserve">gen, indtil en enkelt dråbe giver en blivende </w:t>
      </w:r>
      <w:proofErr w:type="spellStart"/>
      <w:r w:rsidR="00473A05">
        <w:t>rødfavning</w:t>
      </w:r>
      <w:proofErr w:type="spellEnd"/>
    </w:p>
    <w:p w:rsidR="0092437B" w:rsidRDefault="008E281B" w:rsidP="0092437B">
      <w:r>
        <w:t>Noter væskestanden i buretten ved ækvivalenspunktet, anden aflæsning i tabellen.</w:t>
      </w:r>
      <w:r w:rsidR="0092437B">
        <w:t xml:space="preserve"> </w:t>
      </w:r>
    </w:p>
    <w:p w:rsidR="008E281B" w:rsidRDefault="008E281B" w:rsidP="0092437B">
      <w:r>
        <w:t>Titreringen gentages.</w:t>
      </w:r>
    </w:p>
    <w:p w:rsidR="008E281B" w:rsidRDefault="008E281B" w:rsidP="008E281B">
      <w:pPr>
        <w:pStyle w:val="Overskrift2"/>
      </w:pPr>
      <w:r>
        <w:t>Bortskaffelse</w:t>
      </w:r>
    </w:p>
    <w:p w:rsidR="008E281B" w:rsidRPr="008E281B" w:rsidRDefault="008E281B" w:rsidP="008E281B">
      <w:r>
        <w:t>Opløsningerne kan hældes i vasken, idet der skylles godt med vand. Husk forinden at fjerne magneten i kolben.</w:t>
      </w:r>
    </w:p>
    <w:p w:rsidR="008E281B" w:rsidRDefault="008E281B" w:rsidP="008E281B">
      <w:pPr>
        <w:pStyle w:val="Overskrift2"/>
      </w:pPr>
      <w:r>
        <w:t>Resultater</w:t>
      </w:r>
    </w:p>
    <w:tbl>
      <w:tblPr>
        <w:tblStyle w:val="Tabel-Gitter"/>
        <w:tblW w:w="0" w:type="auto"/>
        <w:tblLook w:val="04A0" w:firstRow="1" w:lastRow="0" w:firstColumn="1" w:lastColumn="0" w:noHBand="0" w:noVBand="1"/>
      </w:tblPr>
      <w:tblGrid>
        <w:gridCol w:w="1946"/>
        <w:gridCol w:w="1951"/>
        <w:gridCol w:w="1948"/>
        <w:gridCol w:w="1948"/>
        <w:gridCol w:w="1948"/>
      </w:tblGrid>
      <w:tr w:rsidR="00473A05" w:rsidTr="00473A05">
        <w:tc>
          <w:tcPr>
            <w:tcW w:w="1955" w:type="dxa"/>
          </w:tcPr>
          <w:p w:rsidR="00473A05" w:rsidRPr="00DF14A3" w:rsidRDefault="00473A05" w:rsidP="008E281B">
            <w:pPr>
              <w:jc w:val="center"/>
              <w:rPr>
                <w:b/>
                <w:sz w:val="24"/>
                <w:szCs w:val="24"/>
              </w:rPr>
            </w:pPr>
            <w:r w:rsidRPr="00DF14A3">
              <w:rPr>
                <w:b/>
                <w:sz w:val="24"/>
                <w:szCs w:val="24"/>
              </w:rPr>
              <w:t>Tabel 1</w:t>
            </w:r>
          </w:p>
        </w:tc>
        <w:tc>
          <w:tcPr>
            <w:tcW w:w="7823" w:type="dxa"/>
            <w:gridSpan w:val="4"/>
            <w:tcBorders>
              <w:top w:val="nil"/>
              <w:right w:val="nil"/>
            </w:tcBorders>
          </w:tcPr>
          <w:p w:rsidR="00473A05" w:rsidRPr="002E13DE" w:rsidRDefault="002E13DE" w:rsidP="008E281B">
            <w:pPr>
              <w:jc w:val="center"/>
              <w:rPr>
                <w:i/>
              </w:rPr>
            </w:pPr>
            <w:r w:rsidRPr="002E13DE">
              <w:rPr>
                <w:i/>
              </w:rPr>
              <w:t>Denne titrering var upræcis</w:t>
            </w:r>
          </w:p>
        </w:tc>
      </w:tr>
      <w:tr w:rsidR="008E281B" w:rsidTr="008E281B">
        <w:tc>
          <w:tcPr>
            <w:tcW w:w="1955" w:type="dxa"/>
          </w:tcPr>
          <w:p w:rsidR="008E281B" w:rsidRDefault="008E281B" w:rsidP="008E281B">
            <w:pPr>
              <w:jc w:val="center"/>
            </w:pPr>
          </w:p>
          <w:p w:rsidR="008E281B" w:rsidRDefault="008E281B" w:rsidP="008E281B">
            <w:pPr>
              <w:jc w:val="center"/>
            </w:pPr>
            <w:r>
              <w:t>Forsøg nr.</w:t>
            </w:r>
          </w:p>
        </w:tc>
        <w:tc>
          <w:tcPr>
            <w:tcW w:w="1955" w:type="dxa"/>
          </w:tcPr>
          <w:p w:rsidR="008E281B" w:rsidRDefault="008E281B" w:rsidP="008E281B">
            <w:pPr>
              <w:jc w:val="center"/>
            </w:pPr>
          </w:p>
          <w:p w:rsidR="008E281B" w:rsidRDefault="008E281B" w:rsidP="008E281B">
            <w:pPr>
              <w:jc w:val="center"/>
            </w:pPr>
            <w:r>
              <w:t xml:space="preserve">Masse af </w:t>
            </w:r>
            <w:proofErr w:type="spellStart"/>
            <w:r>
              <w:t>natriumoxalat</w:t>
            </w:r>
            <w:proofErr w:type="spellEnd"/>
          </w:p>
        </w:tc>
        <w:tc>
          <w:tcPr>
            <w:tcW w:w="1956" w:type="dxa"/>
          </w:tcPr>
          <w:p w:rsidR="008E281B" w:rsidRDefault="008E281B" w:rsidP="008E281B">
            <w:pPr>
              <w:jc w:val="center"/>
            </w:pPr>
          </w:p>
          <w:p w:rsidR="008E281B" w:rsidRDefault="008E281B" w:rsidP="008E281B">
            <w:pPr>
              <w:jc w:val="center"/>
            </w:pPr>
            <w:r>
              <w:t>Første aflæsning</w:t>
            </w:r>
          </w:p>
          <w:p w:rsidR="008E281B" w:rsidRDefault="008E281B" w:rsidP="008E281B">
            <w:pPr>
              <w:jc w:val="center"/>
            </w:pPr>
            <w:r>
              <w:t>ml</w:t>
            </w:r>
          </w:p>
        </w:tc>
        <w:tc>
          <w:tcPr>
            <w:tcW w:w="1956" w:type="dxa"/>
          </w:tcPr>
          <w:p w:rsidR="008E281B" w:rsidRDefault="008E281B" w:rsidP="008E281B">
            <w:pPr>
              <w:jc w:val="center"/>
            </w:pPr>
          </w:p>
          <w:p w:rsidR="008E281B" w:rsidRDefault="008E281B" w:rsidP="008E281B">
            <w:pPr>
              <w:jc w:val="center"/>
            </w:pPr>
            <w:r>
              <w:t>Anden aflæsning</w:t>
            </w:r>
          </w:p>
          <w:p w:rsidR="008E281B" w:rsidRDefault="008E281B" w:rsidP="008E281B">
            <w:pPr>
              <w:jc w:val="center"/>
            </w:pPr>
            <w:r>
              <w:t>ml</w:t>
            </w:r>
          </w:p>
        </w:tc>
        <w:tc>
          <w:tcPr>
            <w:tcW w:w="1956" w:type="dxa"/>
          </w:tcPr>
          <w:p w:rsidR="008E281B" w:rsidRDefault="008E281B" w:rsidP="008E281B">
            <w:pPr>
              <w:jc w:val="center"/>
            </w:pPr>
          </w:p>
          <w:p w:rsidR="008E281B" w:rsidRDefault="008E281B" w:rsidP="008E281B">
            <w:pPr>
              <w:jc w:val="center"/>
            </w:pPr>
            <w:r>
              <w:t>Differens</w:t>
            </w:r>
          </w:p>
          <w:p w:rsidR="008E281B" w:rsidRDefault="008E281B" w:rsidP="008E281B">
            <w:pPr>
              <w:jc w:val="center"/>
            </w:pPr>
            <w:r>
              <w:t>ml</w:t>
            </w:r>
          </w:p>
        </w:tc>
      </w:tr>
      <w:tr w:rsidR="008E281B" w:rsidTr="008E281B">
        <w:tc>
          <w:tcPr>
            <w:tcW w:w="1955" w:type="dxa"/>
          </w:tcPr>
          <w:p w:rsidR="008E281B" w:rsidRDefault="008E281B" w:rsidP="008E281B">
            <w:pPr>
              <w:jc w:val="center"/>
            </w:pPr>
          </w:p>
          <w:p w:rsidR="008E281B" w:rsidRDefault="008E281B" w:rsidP="008E281B">
            <w:pPr>
              <w:jc w:val="center"/>
            </w:pPr>
            <w:r>
              <w:t>1</w:t>
            </w:r>
          </w:p>
          <w:p w:rsidR="008E281B" w:rsidRDefault="008E281B" w:rsidP="008E281B">
            <w:pPr>
              <w:jc w:val="center"/>
            </w:pPr>
          </w:p>
        </w:tc>
        <w:tc>
          <w:tcPr>
            <w:tcW w:w="1955" w:type="dxa"/>
          </w:tcPr>
          <w:p w:rsidR="008E281B" w:rsidRDefault="002E13DE" w:rsidP="008E281B">
            <w:pPr>
              <w:jc w:val="center"/>
            </w:pPr>
            <w:r>
              <w:t>0,135 g</w:t>
            </w:r>
          </w:p>
        </w:tc>
        <w:tc>
          <w:tcPr>
            <w:tcW w:w="1956" w:type="dxa"/>
          </w:tcPr>
          <w:p w:rsidR="008E281B" w:rsidRDefault="002E13DE" w:rsidP="008E281B">
            <w:pPr>
              <w:jc w:val="center"/>
            </w:pPr>
            <w:r>
              <w:t>0 mL</w:t>
            </w:r>
          </w:p>
        </w:tc>
        <w:tc>
          <w:tcPr>
            <w:tcW w:w="1956" w:type="dxa"/>
          </w:tcPr>
          <w:p w:rsidR="008E281B" w:rsidRDefault="002E13DE" w:rsidP="008E281B">
            <w:pPr>
              <w:jc w:val="center"/>
            </w:pPr>
            <w:r>
              <w:t>23 mL</w:t>
            </w:r>
          </w:p>
        </w:tc>
        <w:tc>
          <w:tcPr>
            <w:tcW w:w="1956" w:type="dxa"/>
          </w:tcPr>
          <w:p w:rsidR="008E281B" w:rsidRDefault="002E13DE" w:rsidP="008E281B">
            <w:pPr>
              <w:jc w:val="center"/>
            </w:pPr>
            <w:r>
              <w:t>23 mL</w:t>
            </w:r>
          </w:p>
        </w:tc>
      </w:tr>
      <w:tr w:rsidR="008E281B" w:rsidTr="008E281B">
        <w:tc>
          <w:tcPr>
            <w:tcW w:w="1955" w:type="dxa"/>
          </w:tcPr>
          <w:p w:rsidR="008E281B" w:rsidRDefault="008E281B" w:rsidP="008E281B">
            <w:pPr>
              <w:jc w:val="center"/>
            </w:pPr>
          </w:p>
          <w:p w:rsidR="008E281B" w:rsidRDefault="008E281B" w:rsidP="008E281B">
            <w:pPr>
              <w:jc w:val="center"/>
            </w:pPr>
            <w:r>
              <w:t>2</w:t>
            </w:r>
          </w:p>
          <w:p w:rsidR="008E281B" w:rsidRDefault="008E281B" w:rsidP="008E281B">
            <w:pPr>
              <w:jc w:val="center"/>
            </w:pPr>
          </w:p>
        </w:tc>
        <w:tc>
          <w:tcPr>
            <w:tcW w:w="1955" w:type="dxa"/>
          </w:tcPr>
          <w:p w:rsidR="008E281B" w:rsidRDefault="008E281B" w:rsidP="008E281B">
            <w:pPr>
              <w:jc w:val="center"/>
            </w:pPr>
          </w:p>
        </w:tc>
        <w:tc>
          <w:tcPr>
            <w:tcW w:w="1956" w:type="dxa"/>
          </w:tcPr>
          <w:p w:rsidR="008E281B" w:rsidRDefault="008E281B" w:rsidP="008E281B">
            <w:pPr>
              <w:jc w:val="center"/>
            </w:pPr>
          </w:p>
        </w:tc>
        <w:tc>
          <w:tcPr>
            <w:tcW w:w="1956" w:type="dxa"/>
          </w:tcPr>
          <w:p w:rsidR="008E281B" w:rsidRDefault="008E281B" w:rsidP="008E281B">
            <w:pPr>
              <w:jc w:val="center"/>
            </w:pPr>
          </w:p>
        </w:tc>
        <w:tc>
          <w:tcPr>
            <w:tcW w:w="1956" w:type="dxa"/>
          </w:tcPr>
          <w:p w:rsidR="008E281B" w:rsidRDefault="008E281B" w:rsidP="008E281B">
            <w:pPr>
              <w:jc w:val="center"/>
            </w:pPr>
          </w:p>
        </w:tc>
      </w:tr>
    </w:tbl>
    <w:p w:rsidR="008E281B" w:rsidRDefault="008E281B" w:rsidP="008E281B">
      <w:pPr>
        <w:pStyle w:val="Overskrift2"/>
      </w:pPr>
      <w:r>
        <w:t>Efterbehandling</w:t>
      </w:r>
    </w:p>
    <w:p w:rsidR="008E281B" w:rsidRDefault="008E281B" w:rsidP="008E281B">
      <w:pPr>
        <w:pStyle w:val="Listeafsnit"/>
        <w:numPr>
          <w:ilvl w:val="0"/>
          <w:numId w:val="1"/>
        </w:numPr>
      </w:pPr>
      <w:r>
        <w:t xml:space="preserve">Afstem reaktionsskemaet for reaktionen mellem permanganat og </w:t>
      </w:r>
      <w:proofErr w:type="spellStart"/>
      <w:r>
        <w:t>oxalat</w:t>
      </w:r>
      <w:proofErr w:type="spellEnd"/>
      <w:r>
        <w:t>.</w:t>
      </w:r>
    </w:p>
    <w:p w:rsidR="008E281B" w:rsidRDefault="008E281B" w:rsidP="008E281B">
      <w:pPr>
        <w:pStyle w:val="Listeafsnit"/>
        <w:numPr>
          <w:ilvl w:val="0"/>
          <w:numId w:val="1"/>
        </w:numPr>
      </w:pPr>
      <w:r>
        <w:t xml:space="preserve">Beregn stofmængden af afvejet </w:t>
      </w:r>
      <w:proofErr w:type="spellStart"/>
      <w:r>
        <w:t>natriumoxalat</w:t>
      </w:r>
      <w:proofErr w:type="spellEnd"/>
      <w:r>
        <w:t>.</w:t>
      </w:r>
    </w:p>
    <w:p w:rsidR="008E281B" w:rsidRDefault="008E281B" w:rsidP="008E281B">
      <w:pPr>
        <w:pStyle w:val="Listeafsnit"/>
        <w:numPr>
          <w:ilvl w:val="0"/>
          <w:numId w:val="1"/>
        </w:numPr>
      </w:pPr>
      <w:r>
        <w:t>Beregn stofmængdekoncentrationen af permanganat opløsningen.</w:t>
      </w:r>
    </w:p>
    <w:p w:rsidR="008E281B" w:rsidRDefault="008E281B" w:rsidP="008E281B">
      <w:pPr>
        <w:pStyle w:val="Listeafsnit"/>
        <w:numPr>
          <w:ilvl w:val="0"/>
          <w:numId w:val="1"/>
        </w:numPr>
      </w:pPr>
      <w:r>
        <w:t>Beregn middelværdien af resultaterne.</w:t>
      </w:r>
    </w:p>
    <w:p w:rsidR="008E281B" w:rsidRDefault="008E281B" w:rsidP="008E281B">
      <w:pPr>
        <w:pStyle w:val="Overskrift1"/>
      </w:pPr>
      <w:r>
        <w:t>Bestemmelse af jernindholdet i ståluld</w:t>
      </w:r>
    </w:p>
    <w:p w:rsidR="008E281B" w:rsidRDefault="008E281B" w:rsidP="008E281B">
      <w:pPr>
        <w:pStyle w:val="Overskrift2"/>
      </w:pPr>
      <w:r>
        <w:t xml:space="preserve">Apparatur </w:t>
      </w:r>
    </w:p>
    <w:p w:rsidR="00DF14A3" w:rsidRDefault="00DF14A3" w:rsidP="00DF14A3">
      <w:r>
        <w:t xml:space="preserve">Vægt, nøjagtighed 0,001g, 100 ml koniske kolber, måleglas, 250 ml målekolbe, prop til målekolbe, burette, tragt, </w:t>
      </w:r>
      <w:proofErr w:type="spellStart"/>
      <w:r>
        <w:t>filterpapir</w:t>
      </w:r>
      <w:proofErr w:type="spellEnd"/>
      <w:r>
        <w:t>, vejebåde, 25 ml pipette, sprøjteflaske med destilleret vand, magnet og magnetomrører.</w:t>
      </w:r>
    </w:p>
    <w:p w:rsidR="008E281B" w:rsidRDefault="008E281B" w:rsidP="008E281B">
      <w:pPr>
        <w:pStyle w:val="Overskrift2"/>
      </w:pPr>
      <w:r>
        <w:t>Kemikalier</w:t>
      </w:r>
    </w:p>
    <w:p w:rsidR="00DF14A3" w:rsidRPr="00DF14A3" w:rsidRDefault="00DF14A3" w:rsidP="00DF14A3">
      <w:r>
        <w:t>Ståluld, 2M svovlsyre, ca. 0,02M KMnO</w:t>
      </w:r>
      <w:r>
        <w:rPr>
          <w:vertAlign w:val="subscript"/>
        </w:rPr>
        <w:t>4</w:t>
      </w:r>
      <w:r>
        <w:t>.</w:t>
      </w:r>
    </w:p>
    <w:p w:rsidR="00DF14A3" w:rsidRDefault="00DF14A3" w:rsidP="00DF14A3">
      <w:pPr>
        <w:pStyle w:val="Overskrift2"/>
      </w:pPr>
      <w:r>
        <w:t>Udførelse</w:t>
      </w:r>
    </w:p>
    <w:p w:rsidR="00DF14A3" w:rsidRDefault="00DF14A3" w:rsidP="00DF14A3">
      <w:r>
        <w:t>Afvej ca. 1 g ståluld nøjagtigt.</w:t>
      </w:r>
    </w:p>
    <w:p w:rsidR="00DF14A3" w:rsidRDefault="00DF14A3" w:rsidP="00DF14A3">
      <w:r>
        <w:t>Overfør stålulden til den koniske kolbe, og tilsæt 50 ml 2M svovlsyre. Udsugningen skal være tændt under denne del af eksperimentet.</w:t>
      </w:r>
    </w:p>
    <w:p w:rsidR="00DF14A3" w:rsidRDefault="00DF14A3" w:rsidP="00DF14A3">
      <w:r>
        <w:t>Lad kolben stå natten over i et stinkskab.</w:t>
      </w:r>
    </w:p>
    <w:p w:rsidR="005D72F2" w:rsidRDefault="005D72F2">
      <w:pPr>
        <w:rPr>
          <w:b/>
        </w:rPr>
      </w:pPr>
      <w:r>
        <w:rPr>
          <w:b/>
        </w:rPr>
        <w:br w:type="page"/>
      </w:r>
    </w:p>
    <w:p w:rsidR="00DF14A3" w:rsidRPr="00DF14A3" w:rsidRDefault="00DF14A3" w:rsidP="00DF14A3">
      <w:pPr>
        <w:rPr>
          <w:b/>
        </w:rPr>
      </w:pPr>
      <w:r w:rsidRPr="00DF14A3">
        <w:rPr>
          <w:b/>
        </w:rPr>
        <w:lastRenderedPageBreak/>
        <w:t>Titrering næste dag</w:t>
      </w:r>
    </w:p>
    <w:p w:rsidR="0092437B" w:rsidRDefault="00DF14A3" w:rsidP="0092437B">
      <w:r>
        <w:t>Først filtreres opløsningen over i målekolben, skyl den koniske kolbe og filteret med demineraliseret vand, og lad også denne væske løbe ned i måle kolben.</w:t>
      </w:r>
    </w:p>
    <w:p w:rsidR="00DF14A3" w:rsidRDefault="00DF14A3" w:rsidP="0092437B">
      <w:r>
        <w:t>Fyld målekolben op til stregen med demineraliseret vand, og omryst kolbens indhold grundigt.</w:t>
      </w:r>
    </w:p>
    <w:p w:rsidR="00DF14A3" w:rsidRDefault="00DF14A3" w:rsidP="0092437B">
      <w:r>
        <w:t>Med pipette overføres 25,00 ML af opløsningen til en ren konisk kolbe.</w:t>
      </w:r>
    </w:p>
    <w:p w:rsidR="00DF14A3" w:rsidRDefault="00DF14A3" w:rsidP="00DF14A3">
      <w:r>
        <w:t>Sæt bægerglasset underburetten, og fyld den med opløsningen af kaliumpermanganat. Fjern evt. luftbobler i burettespidsen.</w:t>
      </w:r>
    </w:p>
    <w:p w:rsidR="00DF14A3" w:rsidRDefault="00DF14A3" w:rsidP="00DF14A3">
      <w:r>
        <w:t>Væskestanden i buretten no</w:t>
      </w:r>
      <w:r w:rsidR="00473A05">
        <w:t>teres, førsteaflæsning i tabel 2</w:t>
      </w:r>
      <w:r>
        <w:t>.</w:t>
      </w:r>
    </w:p>
    <w:p w:rsidR="00DF14A3" w:rsidRDefault="00473A05" w:rsidP="00DF14A3">
      <w:r>
        <w:t xml:space="preserve">Anbring kolben på magnetomrøreren (hvidt underlag), og titrer jern(II)opløsningen, indtil en enkelt dråbe giver en blivende </w:t>
      </w:r>
      <w:proofErr w:type="spellStart"/>
      <w:r>
        <w:t>rødfavning</w:t>
      </w:r>
      <w:proofErr w:type="spellEnd"/>
      <w:r>
        <w:t>.</w:t>
      </w:r>
    </w:p>
    <w:p w:rsidR="00DF14A3" w:rsidRDefault="00DF14A3" w:rsidP="00DF14A3">
      <w:r>
        <w:t xml:space="preserve">Noter væskestanden i buretten ved ækvivalenspunktet, anden aflæsning i tabellen. </w:t>
      </w:r>
    </w:p>
    <w:p w:rsidR="00DF14A3" w:rsidRDefault="00DF14A3" w:rsidP="00DF14A3">
      <w:r>
        <w:t>Titreringen gentages.</w:t>
      </w:r>
    </w:p>
    <w:p w:rsidR="00DF14A3" w:rsidRDefault="00DF14A3" w:rsidP="00DF14A3">
      <w:pPr>
        <w:pStyle w:val="Overskrift2"/>
      </w:pPr>
      <w:r>
        <w:t>Bortskaffelse</w:t>
      </w:r>
    </w:p>
    <w:p w:rsidR="00DF14A3" w:rsidRPr="008E281B" w:rsidRDefault="00DF14A3" w:rsidP="00DF14A3">
      <w:r>
        <w:t>Opløsningerne kan hældes i vasken, idet der skylles godt med vand. Husk forinden at fjerne magneten i kolben.</w:t>
      </w:r>
    </w:p>
    <w:p w:rsidR="00DF14A3" w:rsidRPr="00DF14A3" w:rsidRDefault="00DF14A3" w:rsidP="00DF14A3">
      <w:pPr>
        <w:pStyle w:val="Overskrift2"/>
      </w:pPr>
      <w:r>
        <w:t>Resultater</w:t>
      </w:r>
    </w:p>
    <w:tbl>
      <w:tblPr>
        <w:tblStyle w:val="Tabel-Gitter"/>
        <w:tblW w:w="0" w:type="auto"/>
        <w:tblLook w:val="04A0" w:firstRow="1" w:lastRow="0" w:firstColumn="1" w:lastColumn="0" w:noHBand="0" w:noVBand="1"/>
      </w:tblPr>
      <w:tblGrid>
        <w:gridCol w:w="1947"/>
        <w:gridCol w:w="1947"/>
        <w:gridCol w:w="1949"/>
        <w:gridCol w:w="1949"/>
        <w:gridCol w:w="1949"/>
      </w:tblGrid>
      <w:tr w:rsidR="00DF14A3" w:rsidTr="00DF14A3">
        <w:tc>
          <w:tcPr>
            <w:tcW w:w="1955" w:type="dxa"/>
            <w:tcBorders>
              <w:right w:val="single" w:sz="4" w:space="0" w:color="auto"/>
            </w:tcBorders>
          </w:tcPr>
          <w:p w:rsidR="00DF14A3" w:rsidRPr="00DF14A3" w:rsidRDefault="00DF14A3" w:rsidP="00D03407">
            <w:pPr>
              <w:jc w:val="center"/>
              <w:rPr>
                <w:b/>
                <w:sz w:val="24"/>
                <w:szCs w:val="24"/>
              </w:rPr>
            </w:pPr>
            <w:r w:rsidRPr="00DF14A3">
              <w:rPr>
                <w:b/>
                <w:sz w:val="24"/>
                <w:szCs w:val="24"/>
              </w:rPr>
              <w:t>Tabel 2</w:t>
            </w:r>
          </w:p>
        </w:tc>
        <w:tc>
          <w:tcPr>
            <w:tcW w:w="7823" w:type="dxa"/>
            <w:gridSpan w:val="4"/>
            <w:tcBorders>
              <w:top w:val="nil"/>
              <w:left w:val="single" w:sz="4" w:space="0" w:color="auto"/>
              <w:bottom w:val="single" w:sz="4" w:space="0" w:color="auto"/>
              <w:right w:val="nil"/>
            </w:tcBorders>
          </w:tcPr>
          <w:p w:rsidR="00DF14A3" w:rsidRDefault="00DF14A3" w:rsidP="00D03407">
            <w:pPr>
              <w:jc w:val="center"/>
            </w:pPr>
          </w:p>
        </w:tc>
      </w:tr>
      <w:tr w:rsidR="00DF14A3" w:rsidTr="00DF14A3">
        <w:tc>
          <w:tcPr>
            <w:tcW w:w="1955" w:type="dxa"/>
          </w:tcPr>
          <w:p w:rsidR="00DF14A3" w:rsidRDefault="00DF14A3" w:rsidP="00D03407">
            <w:pPr>
              <w:jc w:val="center"/>
            </w:pPr>
          </w:p>
          <w:p w:rsidR="00DF14A3" w:rsidRDefault="00DF14A3" w:rsidP="00D03407">
            <w:pPr>
              <w:jc w:val="center"/>
            </w:pPr>
            <w:r>
              <w:t>Forsøg nr.</w:t>
            </w:r>
          </w:p>
        </w:tc>
        <w:tc>
          <w:tcPr>
            <w:tcW w:w="1955" w:type="dxa"/>
            <w:tcBorders>
              <w:top w:val="single" w:sz="4" w:space="0" w:color="auto"/>
            </w:tcBorders>
          </w:tcPr>
          <w:p w:rsidR="00DF14A3" w:rsidRDefault="00DF14A3" w:rsidP="00D03407">
            <w:pPr>
              <w:jc w:val="center"/>
            </w:pPr>
          </w:p>
          <w:p w:rsidR="00DF14A3" w:rsidRDefault="00DF14A3" w:rsidP="00473A05">
            <w:pPr>
              <w:jc w:val="center"/>
            </w:pPr>
            <w:r>
              <w:t xml:space="preserve">Masse af </w:t>
            </w:r>
            <w:r w:rsidR="00473A05">
              <w:t>ståluld</w:t>
            </w:r>
          </w:p>
        </w:tc>
        <w:tc>
          <w:tcPr>
            <w:tcW w:w="1956" w:type="dxa"/>
            <w:tcBorders>
              <w:top w:val="single" w:sz="4" w:space="0" w:color="auto"/>
            </w:tcBorders>
          </w:tcPr>
          <w:p w:rsidR="00DF14A3" w:rsidRDefault="00DF14A3" w:rsidP="00D03407">
            <w:pPr>
              <w:jc w:val="center"/>
            </w:pPr>
          </w:p>
          <w:p w:rsidR="00DF14A3" w:rsidRDefault="00DF14A3" w:rsidP="00D03407">
            <w:pPr>
              <w:jc w:val="center"/>
            </w:pPr>
            <w:r>
              <w:t>Første aflæsning</w:t>
            </w:r>
          </w:p>
          <w:p w:rsidR="00DF14A3" w:rsidRDefault="00DF14A3" w:rsidP="00D03407">
            <w:pPr>
              <w:jc w:val="center"/>
            </w:pPr>
            <w:r>
              <w:t>ml</w:t>
            </w:r>
          </w:p>
        </w:tc>
        <w:tc>
          <w:tcPr>
            <w:tcW w:w="1956" w:type="dxa"/>
            <w:tcBorders>
              <w:top w:val="single" w:sz="4" w:space="0" w:color="auto"/>
            </w:tcBorders>
          </w:tcPr>
          <w:p w:rsidR="00DF14A3" w:rsidRDefault="00DF14A3" w:rsidP="00D03407">
            <w:pPr>
              <w:jc w:val="center"/>
            </w:pPr>
          </w:p>
          <w:p w:rsidR="00DF14A3" w:rsidRDefault="00DF14A3" w:rsidP="00D03407">
            <w:pPr>
              <w:jc w:val="center"/>
            </w:pPr>
            <w:r>
              <w:t>Anden aflæsning</w:t>
            </w:r>
          </w:p>
          <w:p w:rsidR="00DF14A3" w:rsidRDefault="00DF14A3" w:rsidP="00D03407">
            <w:pPr>
              <w:jc w:val="center"/>
            </w:pPr>
            <w:r>
              <w:t>ml</w:t>
            </w:r>
          </w:p>
        </w:tc>
        <w:tc>
          <w:tcPr>
            <w:tcW w:w="1956" w:type="dxa"/>
            <w:tcBorders>
              <w:top w:val="single" w:sz="4" w:space="0" w:color="auto"/>
            </w:tcBorders>
          </w:tcPr>
          <w:p w:rsidR="00DF14A3" w:rsidRDefault="00DF14A3" w:rsidP="00D03407">
            <w:pPr>
              <w:jc w:val="center"/>
            </w:pPr>
          </w:p>
          <w:p w:rsidR="00DF14A3" w:rsidRDefault="00DF14A3" w:rsidP="00D03407">
            <w:pPr>
              <w:jc w:val="center"/>
            </w:pPr>
            <w:r>
              <w:t>Differens</w:t>
            </w:r>
          </w:p>
          <w:p w:rsidR="00DF14A3" w:rsidRDefault="00DF14A3" w:rsidP="00D03407">
            <w:pPr>
              <w:jc w:val="center"/>
            </w:pPr>
            <w:r>
              <w:t>ml</w:t>
            </w:r>
          </w:p>
        </w:tc>
      </w:tr>
      <w:tr w:rsidR="00DF14A3" w:rsidTr="00D03407">
        <w:tc>
          <w:tcPr>
            <w:tcW w:w="1955" w:type="dxa"/>
          </w:tcPr>
          <w:p w:rsidR="00DF14A3" w:rsidRDefault="00DF14A3" w:rsidP="00D03407">
            <w:pPr>
              <w:jc w:val="center"/>
            </w:pPr>
          </w:p>
          <w:p w:rsidR="00DF14A3" w:rsidRDefault="00DF14A3" w:rsidP="00D03407">
            <w:pPr>
              <w:jc w:val="center"/>
            </w:pPr>
            <w:r>
              <w:t>1</w:t>
            </w:r>
          </w:p>
          <w:p w:rsidR="00DF14A3" w:rsidRDefault="00DF14A3" w:rsidP="00D03407">
            <w:pPr>
              <w:jc w:val="center"/>
            </w:pPr>
          </w:p>
        </w:tc>
        <w:tc>
          <w:tcPr>
            <w:tcW w:w="1955" w:type="dxa"/>
          </w:tcPr>
          <w:p w:rsidR="00DF14A3" w:rsidRDefault="002E13DE" w:rsidP="00D03407">
            <w:pPr>
              <w:jc w:val="center"/>
            </w:pPr>
            <w:r>
              <w:t>1,058 g</w:t>
            </w:r>
          </w:p>
        </w:tc>
        <w:tc>
          <w:tcPr>
            <w:tcW w:w="1956" w:type="dxa"/>
          </w:tcPr>
          <w:p w:rsidR="00DF14A3" w:rsidRDefault="002E13DE" w:rsidP="00D03407">
            <w:pPr>
              <w:jc w:val="center"/>
            </w:pPr>
            <w:r>
              <w:t>0 mL</w:t>
            </w:r>
          </w:p>
        </w:tc>
        <w:tc>
          <w:tcPr>
            <w:tcW w:w="1956" w:type="dxa"/>
          </w:tcPr>
          <w:p w:rsidR="00DF14A3" w:rsidRDefault="002E13DE" w:rsidP="00D03407">
            <w:pPr>
              <w:jc w:val="center"/>
            </w:pPr>
            <w:r>
              <w:t>19 mL</w:t>
            </w:r>
          </w:p>
        </w:tc>
        <w:tc>
          <w:tcPr>
            <w:tcW w:w="1956" w:type="dxa"/>
          </w:tcPr>
          <w:p w:rsidR="00DF14A3" w:rsidRDefault="002E13DE" w:rsidP="00D03407">
            <w:pPr>
              <w:jc w:val="center"/>
            </w:pPr>
            <w:r>
              <w:t>19 mL</w:t>
            </w:r>
          </w:p>
        </w:tc>
      </w:tr>
      <w:tr w:rsidR="00DF14A3" w:rsidTr="00D03407">
        <w:tc>
          <w:tcPr>
            <w:tcW w:w="1955" w:type="dxa"/>
          </w:tcPr>
          <w:p w:rsidR="00DF14A3" w:rsidRDefault="00DF14A3" w:rsidP="00D03407">
            <w:pPr>
              <w:jc w:val="center"/>
            </w:pPr>
          </w:p>
          <w:p w:rsidR="00DF14A3" w:rsidRDefault="00DF14A3" w:rsidP="00D03407">
            <w:pPr>
              <w:jc w:val="center"/>
            </w:pPr>
            <w:r>
              <w:t>2</w:t>
            </w:r>
          </w:p>
          <w:p w:rsidR="00DF14A3" w:rsidRDefault="00DF14A3" w:rsidP="00D03407">
            <w:pPr>
              <w:jc w:val="center"/>
            </w:pPr>
          </w:p>
        </w:tc>
        <w:tc>
          <w:tcPr>
            <w:tcW w:w="1955" w:type="dxa"/>
          </w:tcPr>
          <w:p w:rsidR="00DF14A3" w:rsidRDefault="002E13DE" w:rsidP="00D03407">
            <w:pPr>
              <w:jc w:val="center"/>
            </w:pPr>
            <w:r>
              <w:t>1,058 g</w:t>
            </w:r>
          </w:p>
        </w:tc>
        <w:tc>
          <w:tcPr>
            <w:tcW w:w="1956" w:type="dxa"/>
          </w:tcPr>
          <w:p w:rsidR="00DF14A3" w:rsidRDefault="002E13DE" w:rsidP="00D03407">
            <w:pPr>
              <w:jc w:val="center"/>
            </w:pPr>
            <w:r>
              <w:t>0 mL</w:t>
            </w:r>
          </w:p>
        </w:tc>
        <w:tc>
          <w:tcPr>
            <w:tcW w:w="1956" w:type="dxa"/>
          </w:tcPr>
          <w:p w:rsidR="00DF14A3" w:rsidRDefault="002E13DE" w:rsidP="00D03407">
            <w:pPr>
              <w:jc w:val="center"/>
            </w:pPr>
            <w:r>
              <w:t>18 mL</w:t>
            </w:r>
          </w:p>
        </w:tc>
        <w:tc>
          <w:tcPr>
            <w:tcW w:w="1956" w:type="dxa"/>
          </w:tcPr>
          <w:p w:rsidR="00DF14A3" w:rsidRDefault="002E13DE" w:rsidP="00D03407">
            <w:pPr>
              <w:jc w:val="center"/>
            </w:pPr>
            <w:r>
              <w:t>18 mL</w:t>
            </w:r>
          </w:p>
        </w:tc>
      </w:tr>
    </w:tbl>
    <w:p w:rsidR="00DF14A3" w:rsidRDefault="00473A05" w:rsidP="00473A05">
      <w:pPr>
        <w:pStyle w:val="Overskrift2"/>
      </w:pPr>
      <w:r>
        <w:t>Efterbehandling</w:t>
      </w:r>
    </w:p>
    <w:p w:rsidR="00473A05" w:rsidRDefault="00473A05" w:rsidP="00473A05">
      <w:pPr>
        <w:pStyle w:val="Listeafsnit"/>
        <w:numPr>
          <w:ilvl w:val="0"/>
          <w:numId w:val="2"/>
        </w:numPr>
      </w:pPr>
      <w:r>
        <w:t>Hvorfra ved du, at jern kan opløses i fortyndet svovlsyre? Opskriv reaktionsskemaet for jerns omdannelse til jern(II)ioner i fortyndet svovlsyre.</w:t>
      </w:r>
    </w:p>
    <w:p w:rsidR="00473A05" w:rsidRDefault="00473A05" w:rsidP="00473A05">
      <w:pPr>
        <w:pStyle w:val="Listeafsnit"/>
        <w:numPr>
          <w:ilvl w:val="0"/>
          <w:numId w:val="2"/>
        </w:numPr>
      </w:pPr>
      <w:r>
        <w:t>Opskriv og afstem reaktionsskemaet for redoxreaktionen mellem jern(II)ionerne og permanganat.</w:t>
      </w:r>
    </w:p>
    <w:p w:rsidR="00473A05" w:rsidRDefault="00473A05" w:rsidP="00473A05">
      <w:pPr>
        <w:pStyle w:val="Listeafsnit"/>
        <w:numPr>
          <w:ilvl w:val="0"/>
          <w:numId w:val="2"/>
        </w:numPr>
      </w:pPr>
      <w:r>
        <w:t>Forklar, at den farveløse opløsning bliver rødviolet i ækvivalenspunktet.</w:t>
      </w:r>
    </w:p>
    <w:p w:rsidR="00473A05" w:rsidRDefault="00473A05" w:rsidP="00473A05">
      <w:pPr>
        <w:pStyle w:val="Listeafsnit"/>
        <w:numPr>
          <w:ilvl w:val="0"/>
          <w:numId w:val="2"/>
        </w:numPr>
      </w:pPr>
      <w:r>
        <w:t>Beregn den tilsatte stofmængde pe</w:t>
      </w:r>
      <w:bookmarkStart w:id="0" w:name="_GoBack"/>
      <w:bookmarkEnd w:id="0"/>
      <w:r>
        <w:t>rmanganat, MnO</w:t>
      </w:r>
      <w:r>
        <w:rPr>
          <w:vertAlign w:val="subscript"/>
        </w:rPr>
        <w:t>4</w:t>
      </w:r>
      <w:r>
        <w:rPr>
          <w:vertAlign w:val="superscript"/>
        </w:rPr>
        <w:t>-</w:t>
      </w:r>
      <w:r>
        <w:t>.</w:t>
      </w:r>
    </w:p>
    <w:p w:rsidR="00473A05" w:rsidRDefault="00473A05" w:rsidP="00473A05">
      <w:pPr>
        <w:pStyle w:val="Listeafsnit"/>
        <w:numPr>
          <w:ilvl w:val="0"/>
          <w:numId w:val="2"/>
        </w:numPr>
      </w:pPr>
      <w:r>
        <w:t>Beregn den ækvivalente mængde jern(II)ioner i de 25 ml analyseopløsning.</w:t>
      </w:r>
    </w:p>
    <w:p w:rsidR="00473A05" w:rsidRDefault="00473A05" w:rsidP="00473A05">
      <w:pPr>
        <w:pStyle w:val="Listeafsnit"/>
        <w:numPr>
          <w:ilvl w:val="0"/>
          <w:numId w:val="2"/>
        </w:numPr>
      </w:pPr>
      <w:r>
        <w:t>Beregn stofmængden af jern i den afvej</w:t>
      </w:r>
      <w:r w:rsidR="00067699">
        <w:t>e</w:t>
      </w:r>
      <w:r>
        <w:t>de mængde ståluld.</w:t>
      </w:r>
    </w:p>
    <w:p w:rsidR="00473A05" w:rsidRDefault="00473A05" w:rsidP="00473A05">
      <w:pPr>
        <w:pStyle w:val="Listeafsnit"/>
        <w:numPr>
          <w:ilvl w:val="0"/>
          <w:numId w:val="2"/>
        </w:numPr>
      </w:pPr>
      <w:r>
        <w:t>Beregn massen af jern i ståluld, og omregn til masseprocent jern i ståluld.</w:t>
      </w:r>
    </w:p>
    <w:p w:rsidR="005D72F2" w:rsidRDefault="005D72F2" w:rsidP="00473A05">
      <w:pPr>
        <w:pStyle w:val="Listeafsnit"/>
        <w:numPr>
          <w:ilvl w:val="0"/>
          <w:numId w:val="2"/>
        </w:numPr>
      </w:pPr>
      <w:r>
        <w:t>Overvej, hvad det sorte stof, der ikke opløses i svovlsyren, er.</w:t>
      </w:r>
    </w:p>
    <w:p w:rsidR="005D72F2" w:rsidRDefault="005D72F2" w:rsidP="005D72F2">
      <w:r>
        <w:t>Hvad kan du konkludere på baggrund af dine forsøgsresultater?</w:t>
      </w:r>
    </w:p>
    <w:sectPr w:rsidR="005D72F2" w:rsidSect="005D72F2">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A215B"/>
    <w:multiLevelType w:val="hybridMultilevel"/>
    <w:tmpl w:val="AAE0FCC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41830D88"/>
    <w:multiLevelType w:val="hybridMultilevel"/>
    <w:tmpl w:val="888AB1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37B"/>
    <w:rsid w:val="00067699"/>
    <w:rsid w:val="002E13DE"/>
    <w:rsid w:val="00473A05"/>
    <w:rsid w:val="005D72F2"/>
    <w:rsid w:val="008E281B"/>
    <w:rsid w:val="0092437B"/>
    <w:rsid w:val="00AD3914"/>
    <w:rsid w:val="00C35B28"/>
    <w:rsid w:val="00DF14A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50A7F"/>
  <w15:docId w15:val="{297B42DA-6CBF-4CA2-AA78-2A3AEAFF4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35B28"/>
  </w:style>
  <w:style w:type="paragraph" w:styleId="Overskrift1">
    <w:name w:val="heading 1"/>
    <w:basedOn w:val="Normal"/>
    <w:next w:val="Normal"/>
    <w:link w:val="Overskrift1Tegn"/>
    <w:uiPriority w:val="9"/>
    <w:qFormat/>
    <w:rsid w:val="009243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9243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9243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92437B"/>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92437B"/>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92437B"/>
    <w:rPr>
      <w:rFonts w:asciiTheme="majorHAnsi" w:eastAsiaTheme="majorEastAsia" w:hAnsiTheme="majorHAnsi" w:cstheme="majorBidi"/>
      <w:b/>
      <w:bCs/>
      <w:color w:val="4F81BD" w:themeColor="accent1"/>
      <w:sz w:val="26"/>
      <w:szCs w:val="26"/>
    </w:rPr>
  </w:style>
  <w:style w:type="table" w:styleId="Tabel-Gitter">
    <w:name w:val="Table Grid"/>
    <w:basedOn w:val="Tabel-Normal"/>
    <w:uiPriority w:val="59"/>
    <w:rsid w:val="008E2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8E2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728</Words>
  <Characters>4447</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Lise</dc:creator>
  <cp:lastModifiedBy>Mikkel Bjørn Goldschmidt</cp:lastModifiedBy>
  <cp:revision>3</cp:revision>
  <cp:lastPrinted>2011-04-11T20:03:00Z</cp:lastPrinted>
  <dcterms:created xsi:type="dcterms:W3CDTF">2017-05-17T18:24:00Z</dcterms:created>
  <dcterms:modified xsi:type="dcterms:W3CDTF">2017-05-20T13:47:00Z</dcterms:modified>
</cp:coreProperties>
</file>