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</w:t>
      </w:r>
      <w:r>
        <w:t xml:space="preserve"> </w:t>
      </w:r>
      <w:r>
        <w:t xml:space="preserve">Appendix:</w:t>
      </w:r>
      <w:r>
        <w:t xml:space="preserve"> </w:t>
      </w:r>
      <w:r>
        <w:t xml:space="preserve">Who</w:t>
      </w:r>
      <w:r>
        <w:t xml:space="preserve"> </w:t>
      </w:r>
      <w:r>
        <w:t xml:space="preserve">Carries</w:t>
      </w:r>
      <w:r>
        <w:t xml:space="preserve"> </w:t>
      </w:r>
      <w:r>
        <w:t xml:space="preserve">the</w:t>
      </w:r>
      <w:r>
        <w:t xml:space="preserve"> </w:t>
      </w:r>
      <w:r>
        <w:t xml:space="preserve">Passport?</w:t>
      </w:r>
    </w:p>
    <w:p>
      <w:pPr>
        <w:pStyle w:val="Subtitle"/>
      </w:pPr>
      <w:r>
        <w:t xml:space="preserve">Appendix</w:t>
      </w:r>
      <w:r>
        <w:t xml:space="preserve"> </w:t>
      </w:r>
      <w:r>
        <w:t xml:space="preserve">A</w:t>
      </w:r>
      <w:r>
        <w:t xml:space="preserve"> </w:t>
      </w:r>
      <w:r>
        <w:t xml:space="preserve">(measures),</w:t>
      </w:r>
      <w:r>
        <w:t xml:space="preserve"> </w:t>
      </w:r>
      <w:r>
        <w:t xml:space="preserve">B</w:t>
      </w:r>
      <w:r>
        <w:t xml:space="preserve"> </w:t>
      </w:r>
      <w:r>
        <w:t xml:space="preserve">(analysis</w:t>
      </w:r>
      <w:r>
        <w:t xml:space="preserve"> </w:t>
      </w:r>
      <w:r>
        <w:t xml:space="preserve">plan),</w:t>
      </w:r>
      <w:r>
        <w:t xml:space="preserve"> </w:t>
      </w:r>
      <w:r>
        <w:t xml:space="preserve">C</w:t>
      </w:r>
      <w:r>
        <w:t xml:space="preserve"> </w:t>
      </w:r>
      <w:r>
        <w:t xml:space="preserve">(data-collection</w:t>
      </w:r>
      <w:r>
        <w:t xml:space="preserve"> </w:t>
      </w:r>
      <w:r>
        <w:t xml:space="preserve">protocol).</w:t>
      </w:r>
      <w:r>
        <w:t xml:space="preserve"> </w:t>
      </w:r>
      <w:r>
        <w:t xml:space="preserve">Appendices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count</w:t>
      </w:r>
      <w:r>
        <w:t xml:space="preserve"> </w:t>
      </w:r>
      <w:r>
        <w:t xml:space="preserve">toward</w:t>
      </w:r>
      <w:r>
        <w:t xml:space="preserve"> </w:t>
      </w:r>
      <w:r>
        <w:t xml:space="preserve">the</w:t>
      </w:r>
      <w:r>
        <w:t xml:space="preserve"> </w:t>
      </w:r>
      <w:r>
        <w:t xml:space="preserve">STF</w:t>
      </w:r>
      <w:r>
        <w:t xml:space="preserve"> </w:t>
      </w:r>
      <w:r>
        <w:t xml:space="preserve">word</w:t>
      </w:r>
      <w:r>
        <w:t xml:space="preserve"> </w:t>
      </w:r>
      <w:r>
        <w:t xml:space="preserve">limit.</w:t>
      </w:r>
    </w:p>
    <w:p>
      <w:pPr>
        <w:pStyle w:val="Author"/>
      </w:pPr>
    </w:p>
    <w:bookmarkStart w:id="21" w:name="Xe667f895eb2f7026f51c3af18ef8932a105196c"/>
    <w:p>
      <w:pPr>
        <w:pStyle w:val="Heading1"/>
      </w:pPr>
      <w:r>
        <w:t xml:space="preserve">Appendix A: Constructs, definitions and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Construct (code)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Buyer-transmitted regulatory information pressure (BTP)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far EU buyers pass EU product-data requirements on to the 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(information-processing requirement)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Adapted from Zhu &amp; Sarkis (2007)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Data-appropriation concern (DAC)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 that shared data will be used against the firm’s interests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Moderator of BTP → 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New; informed by King et al. 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traceability capability (DTC)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Structured, interoperable digital capture of material and process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information-processing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Adapted from Srinivasan &amp; Swink (2018); Agrawal et al. 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Multi-tier data sharing (MDS)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Timely, accurate data from tier-2+ 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Lateral information-processing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Adapted from Fawcett et al. (2007); Kembro et al. (2017)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 readiness (DPR)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Ability to supply passport-grade data at style or batch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outcome (fit)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New; ESPR, EPRS (2024), Jensen et al. (2023)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Circular SC capability (CSC)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Ability to keep materials in use across the 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(H5a/H5b)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Adapted from Jia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export performance (EXP)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with EU buyers relative to competitors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(+1 objective)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(H6)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Perceptual export-performance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uncertainty (RU)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Ambiguity about what the DPP will require, and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Marker (MV)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Communication-media 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CMV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Marker-variable approach</w:t>
            </w:r>
          </w:p>
        </w:tc>
      </w:tr>
    </w:tbl>
    <w:p>
      <w:pPr>
        <w:pStyle w:val="BodyText"/>
      </w:pPr>
      <w:r>
        <w:t xml:space="preserve">The full wording is in</w:t>
      </w:r>
      <w:r>
        <w:t xml:space="preserve"> </w:t>
      </w:r>
      <w:r>
        <w:rPr>
          <w:rStyle w:val="VerbatimChar"/>
        </w:rPr>
        <w:t xml:space="preserve">03_survey_instrument.md</w:t>
      </w:r>
      <w:r>
        <w:t xml:space="preserve">.</w:t>
      </w:r>
    </w:p>
    <w:bookmarkStart w:id="20" w:name="Xee3bc4159855669c66f095f26d1cbaa904af487"/>
    <w:p>
      <w:pPr>
        <w:pStyle w:val="Heading2"/>
      </w:pPr>
      <w:r>
        <w:t xml:space="preserve">A.1 Scale development for new constructs (DAC, DPR, RU)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Item generation (Nov–Dec 2026):</w:t>
      </w:r>
      <w:r>
        <w:t xml:space="preserve"> </w:t>
      </w:r>
      <w:r>
        <w:t xml:space="preserve">items are drawn from the ESPR text, the EPRS (2024) study, Jensen et al.’s (2023) data clusters and King et al. (2023).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Expert review (Dec 2026–Jan 2027):</w:t>
      </w:r>
      <w:r>
        <w:t xml:space="preserve"> </w:t>
      </w:r>
      <w:r>
        <w:t xml:space="preserve">8–10 interviews with exporters’ compliance heads, brand sourcing managers, an AEPC representative and two academics. Experts rate each item’s relevance on a 4-point scale, and we compute item-level and scale-level content validity indices (target I-CVI ≥ 0.78).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Card sort:</w:t>
      </w:r>
      <w:r>
        <w:t xml:space="preserve"> </w:t>
      </w:r>
      <w:r>
        <w:t xml:space="preserve">6–8 judges assign items to construct definitions. Items are kept if placed correctly by at least 75% of judges.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Pilot (Jan 2027):</w:t>
      </w:r>
      <w:r>
        <w:t xml:space="preserve"> </w:t>
      </w:r>
      <w:r>
        <w:t xml:space="preserve">25–30 firms, checking item clarity, completion time and preliminary reliability. Pilot firms are excluded from the main sample.</w:t>
      </w:r>
    </w:p>
    <w:bookmarkEnd w:id="20"/>
    <w:bookmarkEnd w:id="21"/>
    <w:bookmarkStart w:id="28" w:name="appendix-b-analysis-plan"/>
    <w:p>
      <w:pPr>
        <w:pStyle w:val="Heading1"/>
      </w:pPr>
      <w:r>
        <w:t xml:space="preserve">Appendix B: Analysis plan</w:t>
      </w:r>
    </w:p>
    <w:bookmarkStart w:id="22" w:name="b.1-power"/>
    <w:p>
      <w:pPr>
        <w:pStyle w:val="Heading2"/>
      </w:pPr>
      <w:r>
        <w:t xml:space="preserve">B.1 Power</w:t>
      </w:r>
    </w:p>
    <w:p>
      <w:pPr>
        <w:pStyle w:val="FirstParagraph"/>
      </w:pPr>
      <w:r>
        <w:t xml:space="preserve">G*Power, linear multiple regression (R² deviation from zero), with the largest number of predictors pointing at one construct = 10 (DTC, MDS, DTC×MDS + 7 controls). For f² = 0.15, α = 0.05 and power = 0.80, the minimum n is 118. The inverse-square-root method (Hair et al., 2019) with p_min ≈ 0.20 gives n ≈ 155.</w:t>
      </w:r>
      <w:r>
        <w:t xml:space="preserve"> </w:t>
      </w:r>
      <w:r>
        <w:rPr>
          <w:bCs/>
          <w:b/>
        </w:rPr>
        <w:t xml:space="preserve">We target at least 200 matched responses.</w:t>
      </w:r>
    </w:p>
    <w:bookmarkEnd w:id="22"/>
    <w:bookmarkStart w:id="23" w:name="b.2-measurement-model-reflective"/>
    <w:p>
      <w:pPr>
        <w:pStyle w:val="Heading2"/>
      </w:pPr>
      <w:r>
        <w:t xml:space="preserve">B.2 Measurement model (reflective)</w:t>
      </w:r>
    </w:p>
    <w:p>
      <w:pPr>
        <w:numPr>
          <w:ilvl w:val="0"/>
          <w:numId w:val="1002"/>
        </w:numPr>
        <w:pStyle w:val="Compact"/>
      </w:pPr>
      <w:r>
        <w:t xml:space="preserve">Indicator loadings ≥ 0.708 (0.40–0.70 retained if CR and AVE are acceptable)</w:t>
      </w:r>
    </w:p>
    <w:p>
      <w:pPr>
        <w:numPr>
          <w:ilvl w:val="0"/>
          <w:numId w:val="1002"/>
        </w:numPr>
        <w:pStyle w:val="Compact"/>
      </w:pPr>
      <w:r>
        <w:t xml:space="preserve">Composite reliability ρ_A and ρ_C between 0.70 and 0.95</w:t>
      </w:r>
    </w:p>
    <w:p>
      <w:pPr>
        <w:numPr>
          <w:ilvl w:val="0"/>
          <w:numId w:val="1002"/>
        </w:numPr>
        <w:pStyle w:val="Compact"/>
      </w:pPr>
      <w:r>
        <w:t xml:space="preserve">AVE ≥ 0.50</w:t>
      </w:r>
    </w:p>
    <w:p>
      <w:pPr>
        <w:numPr>
          <w:ilvl w:val="0"/>
          <w:numId w:val="1002"/>
        </w:numPr>
        <w:pStyle w:val="Compact"/>
      </w:pPr>
      <w:r>
        <w:t xml:space="preserve">HTMT &lt; 0.85 (conservative) and bootstrap CI excluding 1 (Henseler et al., 2015)</w:t>
      </w:r>
    </w:p>
    <w:bookmarkEnd w:id="23"/>
    <w:bookmarkStart w:id="24" w:name="b.3-common-method-variance"/>
    <w:p>
      <w:pPr>
        <w:pStyle w:val="Heading2"/>
      </w:pPr>
      <w:r>
        <w:t xml:space="preserve">B.3 Common-method variance</w:t>
      </w:r>
    </w:p>
    <w:p>
      <w:pPr>
        <w:numPr>
          <w:ilvl w:val="0"/>
          <w:numId w:val="1003"/>
        </w:numPr>
        <w:pStyle w:val="Compact"/>
      </w:pPr>
      <w:r>
        <w:t xml:space="preserve">Procedural: temporal separation of predictors and outcomes, anonymity, different scale anchors for EXP, and the order of items mixed across constructs</w:t>
      </w:r>
    </w:p>
    <w:p>
      <w:pPr>
        <w:numPr>
          <w:ilvl w:val="0"/>
          <w:numId w:val="1003"/>
        </w:numPr>
        <w:pStyle w:val="Compact"/>
      </w:pPr>
      <w:r>
        <w:t xml:space="preserve">Statistical: full-collinearity VIF &lt; 3.3 (Kock, 2015); a marker-variable partial correlation adjustment; Harman single-factor test reported only for completeness</w:t>
      </w:r>
    </w:p>
    <w:bookmarkEnd w:id="24"/>
    <w:bookmarkStart w:id="25" w:name="b.4-structural-model"/>
    <w:p>
      <w:pPr>
        <w:pStyle w:val="Heading2"/>
      </w:pPr>
      <w:r>
        <w:t xml:space="preserve">B.4 Structural model</w:t>
      </w:r>
    </w:p>
    <w:p>
      <w:pPr>
        <w:numPr>
          <w:ilvl w:val="0"/>
          <w:numId w:val="1004"/>
        </w:numPr>
        <w:pStyle w:val="Compact"/>
      </w:pPr>
      <w:r>
        <w:t xml:space="preserve">Collinearity: inner VIF &lt; 3</w:t>
      </w:r>
    </w:p>
    <w:p>
      <w:pPr>
        <w:numPr>
          <w:ilvl w:val="0"/>
          <w:numId w:val="1004"/>
        </w:numPr>
        <w:pStyle w:val="Compact"/>
      </w:pPr>
      <w:r>
        <w:t xml:space="preserve">Paths: 10,000 bootstrap samples, percentile or bias-corrected 95% CIs, one-tailed for directional hypotheses</w:t>
      </w:r>
    </w:p>
    <w:p>
      <w:pPr>
        <w:numPr>
          <w:ilvl w:val="0"/>
          <w:numId w:val="1004"/>
        </w:numPr>
        <w:pStyle w:val="Compact"/>
      </w:pPr>
      <w:r>
        <w:t xml:space="preserve">Interactions H2 (BTP × DAC → MDS) and H4 (DTC × MDS → DPR) use the two-stage approach and are reported with simple-slope plots at ±1 SD</w:t>
      </w:r>
    </w:p>
    <w:p>
      <w:pPr>
        <w:numPr>
          <w:ilvl w:val="0"/>
          <w:numId w:val="1004"/>
        </w:numPr>
        <w:pStyle w:val="Compact"/>
      </w:pPr>
      <w:r>
        <w:t xml:space="preserve">R², f², and Q²_predict with PLSpredict (Shmueli et al., 2019; 10 folds, 10 repetitions), compared against a linear-model benchmark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H5a versus H5b:</w:t>
      </w:r>
      <w:r>
        <w:t xml:space="preserve"> </w:t>
      </w:r>
      <w:r>
        <w:t xml:space="preserve">BTP → CSC is added as a direct path. H5a is supported if DPR → CSC is positive and its CI excludes 0. H5b (decoupling) is supported if the CI includes 0 while BTP → DPR (indirect) is positive. We also report an equivalence test (TOST, bounds ±0.10), so that</w:t>
      </w:r>
      <w:r>
        <w:t xml:space="preserve"> </w:t>
      </w:r>
      <w:r>
        <w:t xml:space="preserve">“</w:t>
      </w:r>
      <w:r>
        <w:t xml:space="preserve">no effect</w:t>
      </w:r>
      <w:r>
        <w:t xml:space="preserve">”</w:t>
      </w:r>
      <w:r>
        <w:t xml:space="preserve"> </w:t>
      </w:r>
      <w:r>
        <w:t xml:space="preserve">is not just</w:t>
      </w:r>
      <w:r>
        <w:t xml:space="preserve"> </w:t>
      </w:r>
      <w:r>
        <w:t xml:space="preserve">“</w:t>
      </w:r>
      <w:r>
        <w:t xml:space="preserve">non-significant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Mediation: indirect effects BTP → DTC/MDS → DPR → CSC/EXP, using bootstrapped specific indirect effects</w:t>
      </w:r>
    </w:p>
    <w:bookmarkEnd w:id="25"/>
    <w:bookmarkStart w:id="26" w:name="b.5-robustness"/>
    <w:p>
      <w:pPr>
        <w:pStyle w:val="Heading2"/>
      </w:pPr>
      <w:r>
        <w:t xml:space="preserve">B.5 Robustness</w:t>
      </w:r>
    </w:p>
    <w:p>
      <w:pPr>
        <w:numPr>
          <w:ilvl w:val="0"/>
          <w:numId w:val="1005"/>
        </w:numPr>
        <w:pStyle w:val="Compact"/>
      </w:pPr>
      <w:r>
        <w:t xml:space="preserve">Excluding tier-3/4 firms (yarn and fibre), whose passport role differs</w:t>
      </w:r>
    </w:p>
    <w:p>
      <w:pPr>
        <w:numPr>
          <w:ilvl w:val="0"/>
          <w:numId w:val="1005"/>
        </w:numPr>
        <w:pStyle w:val="Compact"/>
      </w:pPr>
      <w:r>
        <w:t xml:space="preserve">Multi-group analysis (MICOM first): large vs. small firms; knitwear (Tiruppur) vs. woven clusters</w:t>
      </w:r>
    </w:p>
    <w:p>
      <w:pPr>
        <w:numPr>
          <w:ilvl w:val="0"/>
          <w:numId w:val="1005"/>
        </w:numPr>
        <w:pStyle w:val="Compact"/>
      </w:pPr>
      <w:r>
        <w:t xml:space="preserve">Replacing perceptual EXP with the objective EUSHARE_CHG (ordinal)</w:t>
      </w:r>
    </w:p>
    <w:p>
      <w:pPr>
        <w:numPr>
          <w:ilvl w:val="0"/>
          <w:numId w:val="1005"/>
        </w:numPr>
        <w:pStyle w:val="Compact"/>
      </w:pPr>
      <w:r>
        <w:t xml:space="preserve">Endogeneity: Gaussian copula test on the DPR → EXP path</w:t>
      </w:r>
    </w:p>
    <w:p>
      <w:pPr>
        <w:numPr>
          <w:ilvl w:val="0"/>
          <w:numId w:val="1005"/>
        </w:numPr>
        <w:pStyle w:val="Compact"/>
      </w:pPr>
      <w:r>
        <w:t xml:space="preserve">Non-response: early vs. late respondents (Armstrong &amp; Overton, 1977); respondents vs. non-respondents on directory size and region</w:t>
      </w:r>
    </w:p>
    <w:bookmarkEnd w:id="26"/>
    <w:bookmarkStart w:id="27" w:name="b.6-software"/>
    <w:p>
      <w:pPr>
        <w:pStyle w:val="Heading2"/>
      </w:pPr>
      <w:r>
        <w:t xml:space="preserve">B.6 Software</w:t>
      </w:r>
    </w:p>
    <w:p>
      <w:pPr>
        <w:pStyle w:val="FirstParagraph"/>
      </w:pPr>
      <w:r>
        <w:t xml:space="preserve">R with the</w:t>
      </w:r>
      <w:r>
        <w:t xml:space="preserve"> </w:t>
      </w:r>
      <w:r>
        <w:rPr>
          <w:rStyle w:val="VerbatimChar"/>
        </w:rPr>
        <w:t xml:space="preserve">seminr</w:t>
      </w:r>
      <w:r>
        <w:t xml:space="preserve"> </w:t>
      </w:r>
      <w:r>
        <w:t xml:space="preserve">package, or SmartPLS 4. Analysis code is available from the authors on request.</w:t>
      </w:r>
    </w:p>
    <w:bookmarkEnd w:id="27"/>
    <w:bookmarkEnd w:id="28"/>
    <w:bookmarkStart w:id="29" w:name="Xb236fe35ca5a8df1a183acd46fe556cd893fa85"/>
    <w:p>
      <w:pPr>
        <w:pStyle w:val="Heading1"/>
      </w:pPr>
      <w:r>
        <w:t xml:space="preserve">Appendix C: Data-collection protocol and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Dec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submitted to the JBL STF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 2026 –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Ethics approval; expert interviews; card sort;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STF feedback on abstract; revise the model and instrument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STF online developmental workshop; pilot (n ≈ 25–30)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1–28 Feb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1 fielding (email + phone follow-up through AEPC and cluster associations; 3 reminders)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1–25 Mar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 2 fielding (matched firms)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 Mar – 15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cleaning, PLS-SEM, robustness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15–25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results and discussion, then internal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 30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paper submitted (window 1–30 April 2027)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Contact strategy.</w:t>
      </w:r>
      <w:r>
        <w:t xml:space="preserve"> </w:t>
      </w:r>
      <w:r>
        <w:t xml:space="preserve">Pre-notification letter co-signed by an industry association if possible; personalised email with a link; phone follow-up by trained enumerators; a benchmark report offered as an incentive.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Appendix: Who Carries the Passport?</dc:title>
  <dc:creator/>
  <cp:keywords/>
  <dcterms:created xsi:type="dcterms:W3CDTF">2026-10-25T19:05:31Z</dcterms:created>
  <dcterms:modified xsi:type="dcterms:W3CDTF">2026-10-25T19:05:31Z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Appendix A (measures), B (analysis plan), C (data-collection protocol). Appendices do not count toward the STF word limit.</vt:lpwstr>
  </property>
</Properties>
</file>