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reach upstream data in three ways: by owning the upstream stages, by negotiating with independent sub-suppliers, or by borrowing data from chain-of-custody certification. Because buyer pressure is near-universal, we expect suppliers’ fear that their data will be used against them, not the pressure itself, to separate ready from unready firms. Using fuzzy-set qualitative comparative analysis (fsQCA) of [N] Indian textile and apparel exporters surveyed between December 2026 and February 2027, we identify [number] configurations sufficient for high passport readiness and [number] for its absence. We also test whether readiness is sufficient for circular supply chain capability. [Summary of findings.] The results give suppliers alternative routes to readiness, show brands that data-use safeguards matter, and show policymakers where shared infrastructure could close the</w:t>
      </w:r>
      <w:r>
        <w:t xml:space="preserve"> </w:t>
      </w:r>
      <w:r>
        <w:t xml:space="preserve">“</w:t>
      </w:r>
      <w:r>
        <w:t xml:space="preserve">passport gap</w:t>
      </w:r>
      <w:r>
        <w:t xml:space="preserve">”</w:t>
      </w:r>
      <w:r>
        <w:t xml:space="preserve"> </w:t>
      </w:r>
      <w:r>
        <w:t xml:space="preserve">for small suppliers.</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Supply chain design suggests otherwise: very different designs can perform equally well (Misangyi et al., 2017). Configurational theory makes this explicit through</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(failure is not simply the reverse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w:t>
      </w:r>
      <w:r>
        <w:t xml:space="preserve"> </w:t>
      </w:r>
      <w:r>
        <w:rPr>
          <w:iCs/>
          <w:i/>
        </w:rPr>
        <w:t xml:space="preserve">owns</w:t>
      </w:r>
      <w:r>
        <w:t xml:space="preserve"> </w:t>
      </w:r>
      <w:r>
        <w:t xml:space="preserve">the data by internalising interdependence.</w:t>
      </w:r>
      <w:r>
        <w:t xml:space="preserve"> </w:t>
      </w:r>
      <w:r>
        <w:rPr>
          <w:bCs/>
          <w:b/>
        </w:rPr>
        <w:t xml:space="preserve">Multi-tier data sharing</w:t>
      </w:r>
      <w:r>
        <w:t xml:space="preserve"> </w:t>
      </w:r>
      <w:r>
        <w:t xml:space="preserve">is the extent to which independent upstream suppliers provide timely, accurate data (Fawcett et al., 2007; Kembro et al., 2017); it</w:t>
      </w:r>
      <w:r>
        <w:t xml:space="preserve"> </w:t>
      </w:r>
      <w:r>
        <w:rPr>
          <w:iCs/>
          <w:i/>
        </w:rPr>
        <w:t xml:space="preserve">negotiates</w:t>
      </w:r>
      <w:r>
        <w:t xml:space="preserve"> </w:t>
      </w:r>
      <w:r>
        <w:t xml:space="preserve">for the data.</w:t>
      </w:r>
      <w:r>
        <w:t xml:space="preserve"> </w:t>
      </w:r>
      <w:r>
        <w:rPr>
          <w:bCs/>
          <w:b/>
        </w:rPr>
        <w:t xml:space="preserve">Chain-of-custody certification</w:t>
      </w:r>
      <w:r>
        <w:t xml:space="preserve"> </w:t>
      </w:r>
      <w:r>
        <w:t xml:space="preserve">is the share of EU shipments covered by transaction certificates under schemes such as GOTS or GRS, which document fibre content and the facility at each stage; it</w:t>
      </w:r>
      <w:r>
        <w:t xml:space="preserve"> </w:t>
      </w:r>
      <w:r>
        <w:rPr>
          <w:iCs/>
          <w:i/>
        </w:rPr>
        <w:t xml:space="preserve">borrows</w:t>
      </w:r>
      <w:r>
        <w:t xml:space="preserve"> </w:t>
      </w:r>
      <w:r>
        <w:t xml:space="preserve">the data from an institutional infrastructure.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turns data into passport-ready form.</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Buyer pressure is treated as a</w:t>
      </w:r>
      <w:r>
        <w:t xml:space="preserve"> </w:t>
      </w:r>
      <w:r>
        <w:rPr>
          <w:iCs/>
          <w:i/>
        </w:rPr>
        <w:t xml:space="preserve">background condition</w:t>
      </w:r>
      <w:r>
        <w:t xml:space="preserve">. Nearly every Indian firm supplying EU brands now receives data requests, so pressure defines the setting rather than distinguishing firms within it. We measure and report it, and we reintroduce it as a condition in a robustness check.</w:t>
      </w:r>
    </w:p>
    <w:p>
      <w:pPr>
        <w:pStyle w:val="BodyText"/>
      </w:pPr>
      <w:r>
        <w:t xml:space="preserve">Ownership, negotiation and borrowing are alternative ways of reaching upstream data. Galbraith (1974) would predict that any one can be enough.</w:t>
      </w:r>
    </w:p>
    <w:p>
      <w:pPr>
        <w:pStyle w:val="BlockText"/>
      </w:pPr>
      <w:r>
        <w:rPr>
          <w:bCs/>
          <w:b/>
        </w:rPr>
        <w:t xml:space="preserve">P1 (equifinality).</w:t>
      </w:r>
      <w:r>
        <w:t xml:space="preserve"> </w:t>
      </w:r>
      <w:r>
        <w:t xml:space="preserve">High DPP readiness results from several configurations: data that are</w:t>
      </w:r>
      <w:r>
        <w:t xml:space="preserve"> </w:t>
      </w:r>
      <w:r>
        <w:rPr>
          <w:iCs/>
          <w:i/>
        </w:rPr>
        <w:t xml:space="preserve">owned</w:t>
      </w:r>
      <w:r>
        <w:t xml:space="preserve"> </w:t>
      </w:r>
      <w:r>
        <w:t xml:space="preserve">(vertical integration) or</w:t>
      </w:r>
      <w:r>
        <w:t xml:space="preserve"> </w:t>
      </w:r>
      <w:r>
        <w:rPr>
          <w:iCs/>
          <w:i/>
        </w:rPr>
        <w:t xml:space="preserve">negotiated</w:t>
      </w:r>
      <w:r>
        <w:t xml:space="preserve"> </w:t>
      </w:r>
      <w:r>
        <w:t xml:space="preserve">(multi-tier sharing without appropriation concern) combined with digital traceability, and data that are</w:t>
      </w:r>
      <w:r>
        <w:t xml:space="preserve"> </w:t>
      </w:r>
      <w:r>
        <w:rPr>
          <w:iCs/>
          <w:i/>
        </w:rPr>
        <w:t xml:space="preserve">borrowed</w:t>
      </w:r>
      <w:r>
        <w:t xml:space="preserve"> </w:t>
      </w:r>
      <w:r>
        <w:t xml:space="preserve">through chain-of-custody certification.</w:t>
      </w:r>
    </w:p>
    <w:p>
      <w:pPr>
        <w:pStyle w:val="FirstParagraph"/>
      </w:pPr>
      <w:r>
        <w:t xml:space="preserve">Systems without data are empty containers. But certification schemes already digitise much of the chain, so borrowed data may substitute for a firm’s own systems.</w:t>
      </w:r>
    </w:p>
    <w:p>
      <w:pPr>
        <w:pStyle w:val="BlockText"/>
      </w:pPr>
      <w:r>
        <w:rPr>
          <w:bCs/>
          <w:b/>
        </w:rPr>
        <w:t xml:space="preserve">P2 (substitution).</w:t>
      </w:r>
      <w:r>
        <w:t xml:space="preserve"> </w:t>
      </w:r>
      <w:r>
        <w:t xml:space="preserve">Digital traceability is not necessary for high DPP readiness when chain-of-custody certification is present.</w:t>
      </w:r>
    </w:p>
    <w:p>
      <w:pPr>
        <w:pStyle w:val="FirstParagraph"/>
      </w:pPr>
      <w:r>
        <w:t xml:space="preserve">Pressure alone should not create readiness. Where suppliers fear appropriation, requests produce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Data-appropriation concern, in the absence of both vertical integration and certification,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 Indian clusters also run an extensive</w:t>
      </w:r>
      <w:r>
        <w:t xml:space="preserve"> </w:t>
      </w:r>
      <w:r>
        <w:rPr>
          <w:iCs/>
          <w:i/>
        </w:rPr>
        <w:t xml:space="preserve">informal</w:t>
      </w:r>
      <w:r>
        <w:t xml:space="preserve"> </w:t>
      </w:r>
      <w:r>
        <w:t xml:space="preserve">circular economy that needs no data: cutting waste is sold to recyclers in Panipat, and export surplus is resold domestically. We therefore distinguish informal from</w:t>
      </w:r>
      <w:r>
        <w:t xml:space="preserve"> </w:t>
      </w:r>
      <w:r>
        <w:rPr>
          <w:iCs/>
          <w:i/>
        </w:rPr>
        <w:t xml:space="preserve">formal</w:t>
      </w:r>
      <w:r>
        <w:t xml:space="preserve">, brand-led circularity (recycled inputs, design-for-recycling, take-back).</w:t>
      </w:r>
    </w:p>
    <w:p>
      <w:pPr>
        <w:pStyle w:val="BlockText"/>
      </w:pPr>
      <w:r>
        <w:rPr>
          <w:bCs/>
          <w:b/>
        </w:rPr>
        <w:t xml:space="preserve">P4 (two circularities).</w:t>
      </w:r>
      <w:r>
        <w:t xml:space="preserve"> </w:t>
      </w:r>
      <w:r>
        <w:t xml:space="preserve">DPP readiness is not, on its own, sufficient for formal circular practice, while informal circularity occurs regardless of readiness.</w:t>
      </w:r>
    </w:p>
    <w:p>
      <w:pPr>
        <w:pStyle w:val="FirstParagraph"/>
      </w:pPr>
      <w:r>
        <w:t xml:space="preserve">Figure 1 summarises the configurational model.</w:t>
      </w:r>
    </w:p>
    <w:p>
      <w:pPr>
        <w:pStyle w:val="CaptionedFigure"/>
      </w:pPr>
      <w:r>
        <w:drawing>
          <wp:inline>
            <wp:extent cx="5334000" cy="2179982"/>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179982"/>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fsQCA treats each firm as a configuration of conditions and uses Boolean minimisation to identify combinations that are consistently sufficient or necessary for an outcome (Ragin, 2008; Schneider &amp; Wagemann, 2012). It suits small-to-medium samples and combines cross-case comparison with case knowledge (Greckhamer et al., 2018).</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[N] firms ([details of the sample]).</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four conditions and both outcomes use</w:t>
      </w:r>
      <w:r>
        <w:t xml:space="preserve"> </w:t>
      </w:r>
      <w:r>
        <w:rPr>
          <w:iCs/>
          <w:i/>
        </w:rPr>
        <w:t xml:space="preserve">factual</w:t>
      </w:r>
      <w:r>
        <w:t xml:space="preserve"> </w:t>
      </w:r>
      <w:r>
        <w:t xml:space="preserve">measures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Certification</w:t>
      </w:r>
      <w:r>
        <w:t xml:space="preserve"> </w:t>
      </w:r>
      <w:r>
        <w:t xml:space="preserve">is the share of EU shipments covered by transaction certificates, checked against a recent certificate.</w:t>
      </w:r>
      <w:r>
        <w:t xml:space="preserve"> </w:t>
      </w:r>
      <w:r>
        <w:rPr>
          <w:bCs/>
          <w:b/>
        </w:rPr>
        <w:t xml:space="preserve">Data-appropriation concern</w:t>
      </w:r>
      <w:r>
        <w:t xml:space="preserve"> </w:t>
      </w:r>
      <w:r>
        <w:t xml:space="preserve">and the background measure of</w:t>
      </w:r>
      <w:r>
        <w:t xml:space="preserve"> </w:t>
      </w:r>
      <w:r>
        <w:rPr>
          <w:bCs/>
          <w:b/>
        </w:rPr>
        <w:t xml:space="preserve">buyer pressure</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Chain-of-custody certification</w:t>
            </w:r>
          </w:p>
        </w:tc>
        <w:tc>
          <w:tcPr/>
          <w:p>
            <w:pPr>
              <w:pStyle w:val="Compact"/>
              <w:jc w:val="left"/>
            </w:pPr>
            <w:r>
              <w:t xml:space="preserve">% of EU shipments under transaction certificates</w:t>
            </w:r>
          </w:p>
        </w:tc>
        <w:tc>
          <w:tcPr/>
          <w:p>
            <w:pPr>
              <w:pStyle w:val="Compact"/>
              <w:jc w:val="left"/>
            </w:pPr>
            <w:r>
              <w:t xml:space="preserve">5%</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rPr>
                <w:iCs/>
                <w:i/>
              </w:rPr>
              <w:t xml:space="preserve">Buyer pressure (background; robustness only)</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both for all circular practices and for</w:t>
      </w:r>
      <w:r>
        <w:t xml:space="preserve"> </w:t>
      </w:r>
      <w:r>
        <w:rPr>
          <w:iCs/>
          <w:i/>
        </w:rPr>
        <w:t xml:space="preserve">formal</w:t>
      </w:r>
      <w:r>
        <w:t xml:space="preserve"> </w:t>
      </w:r>
      <w:r>
        <w:t xml:space="preserve">practices only (recycled inputs, design-for-recycling, take-back), because informal practices such as selling cutting waste need no product data.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replaced certification with buyer pressure, and added buyer pressure as a sixth condition (Online Appendix B).</w:t>
      </w:r>
    </w:p>
    <w:bookmarkEnd w:id="31"/>
    <w:bookmarkEnd w:id="32"/>
    <w:bookmarkStart w:id="33" w:name="results"/>
    <w:p>
      <w:pPr>
        <w:pStyle w:val="Heading1"/>
      </w:pPr>
      <w:r>
        <w:t xml:space="preserve">Results</w:t>
      </w:r>
    </w:p>
    <w:p>
      <w:pPr>
        <w:pStyle w:val="FirstParagraph"/>
      </w:pPr>
      <w:r>
        <w:rPr>
          <w:iCs/>
          <w:i/>
        </w:rPr>
        <w:t xml:space="preserve">[To be completed with the 2026–27 data. The sentences below are templates.]</w:t>
      </w:r>
    </w:p>
    <w:p>
      <w:pPr>
        <w:pStyle w:val="BodyText"/>
      </w:pPr>
      <w:r>
        <w:rPr>
          <w:bCs/>
          <w:b/>
        </w:rPr>
        <w:t xml:space="preserve">Necessity.</w:t>
      </w:r>
      <w:r>
        <w:t xml:space="preserve"> </w:t>
      </w:r>
      <w:r>
        <w:t xml:space="preserve">Digital traceability [passed / did not pass] the necessity test for high readiness (consistency = [ ], coverage = [ ]), [not supporting / supporting] P2. Buyer pressure, as a background condition, was present in [ ]% of cases.</w:t>
      </w:r>
    </w:p>
    <w:p>
      <w:pPr>
        <w:pStyle w:val="BodyText"/>
      </w:pPr>
      <w:r>
        <w:rPr>
          <w:bCs/>
          <w:b/>
        </w:rPr>
        <w:t xml:space="preserve">Sufficiency for high readiness.</w:t>
      </w:r>
      <w:r>
        <w:t xml:space="preserve"> </w:t>
      </w:r>
      <w:r>
        <w:t xml:space="preserve">The analysis yielded [number] configurations (Table 2), with solution consistency of [ ] and coverage of [ ]. Configuration 1 ([description]) matches the</w:t>
      </w:r>
      <w:r>
        <w:t xml:space="preserve"> </w:t>
      </w:r>
      <w:r>
        <w:rPr>
          <w:iCs/>
          <w:i/>
        </w:rPr>
        <w:t xml:space="preserve">owned</w:t>
      </w:r>
      <w:r>
        <w:t xml:space="preserve"> </w:t>
      </w:r>
      <w:r>
        <w:t xml:space="preserve">route, configuration 2 ([description]) the</w:t>
      </w:r>
      <w:r>
        <w:t xml:space="preserve"> </w:t>
      </w:r>
      <w:r>
        <w:rPr>
          <w:iCs/>
          <w:i/>
        </w:rPr>
        <w:t xml:space="preserve">negotiated</w:t>
      </w:r>
      <w:r>
        <w:t xml:space="preserve"> </w:t>
      </w:r>
      <w:r>
        <w:t xml:space="preserve">route and configuration 3 ([description]) the</w:t>
      </w:r>
      <w:r>
        <w:t xml:space="preserve"> </w:t>
      </w:r>
      <w:r>
        <w:rPr>
          <w:iCs/>
          <w:i/>
        </w:rPr>
        <w:t xml:space="preserve">borrowed</w:t>
      </w:r>
      <w:r>
        <w:t xml:space="preserve"> </w:t>
      </w:r>
      <w:r>
        <w:t xml:space="preserve">route, [supporting / partly supporting] P1. The absence of data-appropriation concern is a [core / peripheral] condition in [ ]. A typical case is [firm description and short quote].</w:t>
      </w:r>
    </w:p>
    <w:p>
      <w:pPr>
        <w:pStyle w:val="BodyText"/>
      </w:pPr>
      <w:r>
        <w:rPr>
          <w:bCs/>
          <w:b/>
        </w:rPr>
        <w:t xml:space="preserve">Sufficiency for low readiness.</w:t>
      </w:r>
      <w:r>
        <w:t xml:space="preserve"> </w:t>
      </w:r>
      <w:r>
        <w:t xml:space="preserve">[number] configurations led to low readiness (consistency = [ ], coverage = [ ]). The combination of data-appropriation concern, low integration and no certification [appeared / did not appear], [supporting / not supporting] P3.</w:t>
      </w:r>
    </w:p>
    <w:p>
      <w:pPr>
        <w:pStyle w:val="BodyText"/>
      </w:pPr>
      <w:r>
        <w:rPr>
          <w:bCs/>
          <w:b/>
        </w:rPr>
        <w:t xml:space="preserve">Readiness and circularity.</w:t>
      </w:r>
      <w:r>
        <w:t xml:space="preserve"> </w:t>
      </w:r>
      <w:r>
        <w:t xml:space="preserve">Readiness was [not] sufficient on its own for formal circular practice (consistency = [ ]), while informal practices were found in [ ]% of firms regardless of readiness, [supporting / not supporting] P4. Formal circularity arose when readiness combined with [conditions]. Results were robust to [list of robustness checks].</w:t>
      </w:r>
    </w:p>
    <w:p>
      <w:pPr>
        <w:pStyle w:val="BodyText"/>
      </w:pPr>
      <w:r>
        <w:rPr>
          <w:bCs/>
          <w:b/>
        </w:rPr>
        <w:t xml:space="preserve">Case illustration.</w:t>
      </w:r>
      <w:r>
        <w:t xml:space="preserve"> </w:t>
      </w:r>
      <w:r>
        <w:t xml:space="preserve">[Two short case vignettes, one per high-readiness route.] For example, [Firm A, a vertically integrated exporter in (cluster)] reached readiness through ownership, while [Firm B, a small knitter] relied on long-standing relationships with two dyehouses that shared chemical and origin data once the buyer agreed to limit how the data would be used. [Firm C] shows the low-readiness pattern: [description].</w:t>
      </w:r>
    </w:p>
    <w:p>
      <w:pPr>
        <w:pStyle w:val="BodyText"/>
      </w:pPr>
      <w:r>
        <w:rPr>
          <w:bCs/>
          <w:b/>
        </w:rPr>
        <w:t xml:space="preserve">Table 2.</w:t>
      </w:r>
      <w:r>
        <w:t xml:space="preserve"> </w:t>
      </w:r>
      <w:r>
        <w:t xml:space="preserve">Configurations for high and low DPP readiness. ● = core condition present; • = peripheral condition present; ⊗ = condition absent (core ⊗, peripheral ⊗ smaller); blank = does not matter.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High 1</w:t>
            </w:r>
          </w:p>
        </w:tc>
        <w:tc>
          <w:tcPr/>
          <w:p>
            <w:pPr>
              <w:pStyle w:val="Compact"/>
              <w:jc w:val="left"/>
            </w:pPr>
            <w:r>
              <w:t xml:space="preserve">High 2</w:t>
            </w:r>
          </w:p>
        </w:tc>
        <w:tc>
          <w:tcPr/>
          <w:p>
            <w:pPr>
              <w:pStyle w:val="Compact"/>
              <w:jc w:val="left"/>
            </w:pPr>
            <w:r>
              <w:t xml:space="preserve">High 3</w:t>
            </w:r>
          </w:p>
        </w:tc>
        <w:tc>
          <w:tcPr/>
          <w:p>
            <w:pPr>
              <w:pStyle w:val="Compact"/>
              <w:jc w:val="left"/>
            </w:pPr>
            <w:r>
              <w:t xml:space="preserve">Low 1</w:t>
            </w:r>
          </w:p>
        </w:tc>
        <w:tc>
          <w:tcPr/>
          <w:p>
            <w:pPr>
              <w:pStyle w:val="Compact"/>
              <w:jc w:val="left"/>
            </w:pPr>
            <w:r>
              <w:t xml:space="preserve">Low 2</w:t>
            </w:r>
          </w:p>
        </w:tc>
      </w:tr>
      <w:tr>
        <w:tc>
          <w:tcPr/>
          <w:p>
            <w:pPr>
              <w:pStyle w:val="Compact"/>
              <w:jc w:val="left"/>
            </w:pPr>
            <w:r>
              <w:t xml:space="preserve">Vertical integration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Multi-tier data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Chain-of-custody certification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Data-appropriation concern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Raw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Unique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Consistency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Solution coverage / consistency</w:t>
            </w:r>
          </w:p>
        </w:tc>
        <w:tc>
          <w:tcPr/>
          <w:p>
            <w:pPr>
              <w:pStyle w:val="Compact"/>
              <w:jc w:val="left"/>
            </w:pPr>
            <w:r>
              <w:t xml:space="preserve">[ ] / [ ]</w:t>
            </w:r>
          </w:p>
        </w:tc>
        <w:tc>
          <w:tcPr/>
          <w:p>
            <w:pPr>
              <w:pStyle w:val="Compact"/>
            </w:pPr>
          </w:p>
        </w:tc>
        <w:tc>
          <w:tcPr/>
          <w:p>
            <w:pPr>
              <w:pStyle w:val="Compact"/>
            </w:pPr>
          </w:p>
        </w:tc>
        <w:tc>
          <w:tcPr/>
          <w:p>
            <w:pPr>
              <w:pStyle w:val="Compact"/>
              <w:jc w:val="left"/>
            </w:pPr>
            <w:r>
              <w:t xml:space="preserve">[ ] / [ ]</w:t>
            </w:r>
          </w:p>
        </w:tc>
        <w:tc>
          <w:tcPr/>
          <w:p>
            <w:pPr>
              <w:pStyle w:val="Compact"/>
            </w:pPr>
          </w:p>
        </w:tc>
      </w:tr>
    </w:tbl>
    <w:bookmarkEnd w:id="33"/>
    <w:bookmarkStart w:id="38" w:name="discussion"/>
    <w:p>
      <w:pPr>
        <w:pStyle w:val="Heading1"/>
      </w:pPr>
      <w:r>
        <w:t xml:space="preserve">Discussion</w:t>
      </w:r>
    </w:p>
    <w:bookmarkStart w:id="34" w:name="theoretical-implications"/>
    <w:p>
      <w:pPr>
        <w:pStyle w:val="Heading2"/>
      </w:pPr>
      <w:r>
        <w:t xml:space="preserve">Theoretical Implications</w:t>
      </w:r>
    </w:p>
    <w:p>
      <w:pPr>
        <w:pStyle w:val="FirstParagraph"/>
      </w:pPr>
      <w:r>
        <w:t xml:space="preserve">First, the study moves OIPT from asking whether capacity</w:t>
      </w:r>
      <w:r>
        <w:t xml:space="preserve"> </w:t>
      </w:r>
      <w:r>
        <w:rPr>
          <w:iCs/>
          <w:i/>
        </w:rPr>
        <w:t xml:space="preserve">fits</w:t>
      </w:r>
      <w:r>
        <w:t xml:space="preserve"> </w:t>
      </w:r>
      <w:r>
        <w:t xml:space="preserve">requirements to asking</w:t>
      </w:r>
      <w:r>
        <w:t xml:space="preserve"> </w:t>
      </w:r>
      <w:r>
        <w:rPr>
          <w:iCs/>
          <w:i/>
        </w:rPr>
        <w:t xml:space="preserve">which combinations</w:t>
      </w:r>
      <w:r>
        <w:t xml:space="preserve"> </w:t>
      </w:r>
      <w:r>
        <w:t xml:space="preserve">produce fit under externally imposed, multi-tier requirements. Galbraith’s (1974) design alternatives become empirically visible routes: suppliers can own their information, negotiate for it, or borrow it from institutional infrastructure such as certification schemes. Capacity can therefore sit outside the firm, not only in its structure and systems. Second, when pressure is near-universal, it cannot explain variation. Data-appropriation concern explains why the main lever brands use can fail: requests create readiness only where suppliers trust how their data will be used (Fawcett et al., 2007; Gualandris et al., 2021). Third, the decoupling test speaks to the supply chain transparency literature (Montecchi et al., 2021; Sodhi &amp; Tang, 2019). If readiness is not sufficient for formal circularity, the passport risks becoming traceability without circularity: compliance data that sit in a registry while material still flows to landfill. And if informal loops run without data, the passport may leave the circularity that already exists invisible. Fourth, the findings clarify a design trade-off. Building passport capacity consumes managerial attention and capital that small exporters would otherwise spend on cost, speed and quality. Equifinality means there is more than one way to pay that price, and firms can choose the route that fits their structure.</w:t>
      </w:r>
    </w:p>
    <w:bookmarkEnd w:id="34"/>
    <w:bookmarkStart w:id="35"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There is more than one route to a passport.</w:t>
      </w:r>
      <w:r>
        <w:t xml:space="preserve"> </w:t>
      </w:r>
      <w:r>
        <w:t xml:space="preserve">Integrated firms can build on ownership of their stages; smaller firms can get there through partnerships with upstream suppliers or through certification. Choose the route that fits your structure.</w:t>
      </w:r>
    </w:p>
    <w:p>
      <w:pPr>
        <w:numPr>
          <w:ilvl w:val="0"/>
          <w:numId w:val="1001"/>
        </w:numPr>
        <w:pStyle w:val="Compact"/>
      </w:pPr>
      <w:r>
        <w:rPr>
          <w:bCs/>
          <w:b/>
        </w:rPr>
        <w:t xml:space="preserve">Map before you buy.</w:t>
      </w:r>
      <w:r>
        <w:t xml:space="preserve"> </w:t>
      </w:r>
      <w:r>
        <w:t xml:space="preserve">Identify which tier holds each passport data field before investing in a platform. Software alone [did not] produce readiness in our data.</w:t>
      </w:r>
    </w:p>
    <w:p>
      <w:pPr>
        <w:numPr>
          <w:ilvl w:val="0"/>
          <w:numId w:val="1001"/>
        </w:numPr>
        <w:pStyle w:val="Compact"/>
      </w:pPr>
      <w:r>
        <w:rPr>
          <w:bCs/>
          <w:b/>
        </w:rPr>
        <w:t xml:space="preserve">Fix trust before technology.</w:t>
      </w:r>
      <w:r>
        <w:t xml:space="preserve"> </w:t>
      </w:r>
      <w:r>
        <w:t xml:space="preserve">Where suppliers fear their data will be misused, buyer pressure [backfired]. Brands that limit how they use supplier data, share verification costs or pay for verified data will get better passports.</w:t>
      </w:r>
    </w:p>
    <w:p>
      <w:pPr>
        <w:numPr>
          <w:ilvl w:val="0"/>
          <w:numId w:val="1001"/>
        </w:numPr>
        <w:pStyle w:val="Compact"/>
      </w:pPr>
      <w:r>
        <w:rPr>
          <w:bCs/>
          <w:b/>
        </w:rPr>
        <w:t xml:space="preserve">Treat certificates as data assets.</w:t>
      </w:r>
      <w:r>
        <w:t xml:space="preserve"> </w:t>
      </w:r>
      <w:r>
        <w:t xml:space="preserve">Transaction certificates under GOTS or GRS already hold much of what the passport needs.</w:t>
      </w:r>
    </w:p>
    <w:p>
      <w:pPr>
        <w:numPr>
          <w:ilvl w:val="0"/>
          <w:numId w:val="1001"/>
        </w:numPr>
        <w:pStyle w:val="Compact"/>
      </w:pPr>
      <w:r>
        <w:rPr>
          <w:bCs/>
          <w:b/>
        </w:rPr>
        <w:t xml:space="preserve">Use the data, not just file it.</w:t>
      </w:r>
      <w:r>
        <w:t xml:space="preserve"> </w:t>
      </w:r>
      <w:r>
        <w:t xml:space="preserve">Readiness led to formal circular practice [only when combined with …].</w:t>
      </w:r>
    </w:p>
    <w:bookmarkEnd w:id="35"/>
    <w:bookmarkStart w:id="36" w:name="policy-implications"/>
    <w:p>
      <w:pPr>
        <w:pStyle w:val="Heading2"/>
      </w:pPr>
      <w:r>
        <w:t xml:space="preserve">Policy Implications</w:t>
      </w:r>
    </w:p>
    <w:p>
      <w:pPr>
        <w:pStyle w:val="FirstParagraph"/>
      </w:pPr>
      <w:r>
        <w:t xml:space="preserve">The passport shifts information-processing costs upstream, to the actors least able to bear them. If the negotiated route depends on trust and digital capture that small sub-suppliers cannot provide alone, the passport could concentrate EU sourcing among large, vertically integrated exporters. Three levers follow. First, the passport’s technical design should recognise existing certification data, so that suppliers do not have to collect it twice. Second, shared data infrastructure, such as cluster-level traceability platforms in Tiruppur or Ludhiana run by industry associations, lowers the fixed cost of digital capture. Third, enforceable data-use safeguards, built into the passport’s access rights or into the EU–India agreement’s sustainability chapter, lower appropriation concern.</w:t>
      </w:r>
    </w:p>
    <w:bookmarkEnd w:id="36"/>
    <w:bookmarkStart w:id="37" w:name="limitations-and-future-research"/>
    <w:p>
      <w:pPr>
        <w:pStyle w:val="Heading2"/>
      </w:pPr>
      <w:r>
        <w:t xml:space="preserve">Limitations and Future Research</w:t>
      </w:r>
    </w:p>
    <w:p>
      <w:pPr>
        <w:pStyle w:val="FirstParagraph"/>
      </w:pPr>
      <w:r>
        <w:t xml:space="preserve">fsQCA identifies set relations, not net effects, and our cross-sectional data support configurational rather than causal claims. The purposive sample of [N] firms supports analytical, not statistical, generalisation. Readiness is measured before the delegated act fixes the data fields. Our configurations are also a starting point for larger-sample tests: each route implies interaction effects that a regression or structural model could estimate across a wider population. Future research should revisit these firms once the passport is mandatory, extend the analysis to Bangladesh, Vietnam and Türkiye, and test the routes we identify with larger samples.</w:t>
      </w:r>
    </w:p>
    <w:bookmarkEnd w:id="37"/>
    <w:bookmarkEnd w:id="38"/>
    <w:bookmarkStart w:id="39" w:name="conclusion"/>
    <w:p>
      <w:pPr>
        <w:pStyle w:val="Heading1"/>
      </w:pPr>
      <w:r>
        <w:t xml:space="preserve">Conclusion</w:t>
      </w:r>
    </w:p>
    <w:p>
      <w:pPr>
        <w:pStyle w:val="FirstParagraph"/>
      </w:pPr>
      <w:r>
        <w:t xml:space="preserve">The Digital Product Passport is a supply chain design decision disguised as a compliance requirement. There is no single route to readiness, and the configurations that work depend on how a supplier is structured and whom it trusts. Our study shows [one-sentence headline finding] and points to where firms and governments should invest first.</w:t>
      </w:r>
    </w:p>
    <w:bookmarkEnd w:id="39"/>
    <w:bookmarkStart w:id="40"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Owned, Negotiated or Borrowed Routes to Digital Product Passport Readiness in Indian Apparel Exports</dc:title>
  <dc:creator/>
  <cp:keywords/>
  <dcterms:created xsi:type="dcterms:W3CDTF">2026-10-25T19:51:02Z</dcterms:created>
  <dcterms:modified xsi:type="dcterms:W3CDTF">2026-10-25T19:51:02Z</dcterms:modified>
</cp:coreProperties>
</file>

<file path=docProps/custom.xml><?xml version="1.0" encoding="utf-8"?>
<Properties xmlns="http://schemas.openxmlformats.org/officeDocument/2006/custom-properties" xmlns:vt="http://schemas.openxmlformats.org/officeDocument/2006/docPropsVTypes"/>
</file>