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[ILLUSTRATIVE</w:t>
      </w:r>
      <w:r>
        <w:t xml:space="preserve"> </w:t>
      </w:r>
      <w:r>
        <w:t xml:space="preserve">–</w:t>
      </w:r>
      <w:r>
        <w:t xml:space="preserve"> </w:t>
      </w:r>
      <w:r>
        <w:t xml:space="preserve">SIMULATED</w:t>
      </w:r>
      <w:r>
        <w:t xml:space="preserve"> </w:t>
      </w:r>
      <w:r>
        <w:t xml:space="preserve">DATA</w:t>
      </w:r>
      <w:r>
        <w:t xml:space="preserve"> </w:t>
      </w:r>
      <w:r>
        <w:t xml:space="preserve">–</w:t>
      </w:r>
      <w:r>
        <w:t xml:space="preserve"> </w:t>
      </w:r>
      <w:r>
        <w:t xml:space="preserve">NOT</w:t>
      </w:r>
      <w:r>
        <w:t xml:space="preserve"> </w:t>
      </w:r>
      <w:r>
        <w:t xml:space="preserve">FOR</w:t>
      </w:r>
      <w:r>
        <w:t xml:space="preserve"> </w:t>
      </w:r>
      <w:r>
        <w:t xml:space="preserve">SUBMISSION]</w:t>
      </w:r>
      <w:r>
        <w:t xml:space="preserve"> </w:t>
      </w:r>
      <w:r>
        <w:t xml:space="preserve">Who</w:t>
      </w:r>
      <w:r>
        <w:t xml:space="preserve"> </w:t>
      </w:r>
      <w:r>
        <w:t xml:space="preserve">Carries</w:t>
      </w:r>
      <w:r>
        <w:t xml:space="preserve"> </w:t>
      </w:r>
      <w:r>
        <w:t xml:space="preserve">the</w:t>
      </w:r>
      <w:r>
        <w:t xml:space="preserve"> </w:t>
      </w:r>
      <w:r>
        <w:t xml:space="preserve">Passport?</w:t>
      </w:r>
      <w:r>
        <w:t xml:space="preserve"> </w:t>
      </w:r>
      <w:r>
        <w:t xml:space="preserve">Owned,</w:t>
      </w:r>
      <w:r>
        <w:t xml:space="preserve"> </w:t>
      </w:r>
      <w:r>
        <w:t xml:space="preserve">Negotiated</w:t>
      </w:r>
      <w:r>
        <w:t xml:space="preserve"> </w:t>
      </w:r>
      <w:r>
        <w:t xml:space="preserve">or</w:t>
      </w:r>
      <w:r>
        <w:t xml:space="preserve"> </w:t>
      </w:r>
      <w:r>
        <w:t xml:space="preserve">Borrowed</w:t>
      </w:r>
      <w:r>
        <w:t xml:space="preserve"> </w:t>
      </w:r>
      <w:r>
        <w:t xml:space="preserve">Routes</w:t>
      </w:r>
      <w:r>
        <w:t xml:space="preserve"> </w:t>
      </w:r>
      <w:r>
        <w:t xml:space="preserve">to</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BlockText"/>
      </w:pPr>
      <w:r>
        <w:rPr>
          <w:bCs/>
          <w:b/>
        </w:rPr>
        <w:t xml:space="preserve">ILLUSTRATIVE VERSION.</w:t>
      </w:r>
      <w:r>
        <w:t xml:space="preserve"> </w:t>
      </w:r>
      <w:r>
        <w:t xml:space="preserve">All results below come from</w:t>
      </w:r>
      <w:r>
        <w:t xml:space="preserve"> </w:t>
      </w:r>
      <w:r>
        <w:rPr>
          <w:iCs/>
          <w:i/>
        </w:rPr>
        <w:t xml:space="preserve">simulated</w:t>
      </w:r>
      <w:r>
        <w:t xml:space="preserve"> </w:t>
      </w:r>
      <w:r>
        <w:t xml:space="preserve">responses for 50 fictional firms (</w:t>
      </w:r>
      <w:r>
        <w:rPr>
          <w:rStyle w:val="VerbatimChar"/>
        </w:rPr>
        <w:t xml:space="preserve">data/SIMULATED_responses.csv</w:t>
      </w:r>
      <w:r>
        <w:t xml:space="preserve">; assumptions in</w:t>
      </w:r>
      <w:r>
        <w:t xml:space="preserve"> </w:t>
      </w:r>
      <w:r>
        <w:rPr>
          <w:rStyle w:val="VerbatimChar"/>
        </w:rPr>
        <w:t xml:space="preserve">simulation/SIMULATION_ASSUMPTIONS.md</w:t>
      </w:r>
      <w:r>
        <w:t xml:space="preserve">). They show how the paper will read. They are</w:t>
      </w:r>
      <w:r>
        <w:t xml:space="preserve"> </w:t>
      </w:r>
      <w:r>
        <w:rPr>
          <w:bCs/>
          <w:b/>
        </w:rPr>
        <w:t xml:space="preserve">not findings</w:t>
      </w:r>
      <w:r>
        <w:t xml:space="preserve">. Replace the data, rerun</w:t>
      </w:r>
      <w:r>
        <w:t xml:space="preserve"> </w:t>
      </w:r>
      <w:r>
        <w:rPr>
          <w:rStyle w:val="VerbatimChar"/>
        </w:rPr>
        <w:t xml:space="preserve">analysis/fsqca.py</w:t>
      </w:r>
      <w:r>
        <w:t xml:space="preserve">, and rewrite the Results and Discussion from the real output.</w:t>
      </w: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examine how suppliers reach upstream data: by owning it, negotiating for it, or borrowing it from chain-of-custody certification. Using fuzzy-set qualitative comparative analysis (fsQCA) of 50 Indian textile and apparel exporters, we find two core mechanisms of passport readiness: digital capture by firms that do not fear data misuse, and certification coverage. Ownership and negotiation matter as ways of removing that fear. Buyer pressure was nearly universal and did not distinguish ready from unready firms. Readiness was not sufficient for formal circular practice. We develop a theory of trusted and borrowed information capacity, with implications for brands, suppliers and EU–India policy.</w:t>
      </w:r>
    </w:p>
    <w:p>
      <w:pPr>
        <w:pStyle w:val="BodyText"/>
      </w:pPr>
      <w:r>
        <w:rPr>
          <w:iCs/>
          <w:i/>
        </w:rPr>
        <w:t xml:space="preserve">Keywords:</w:t>
      </w:r>
      <w:r>
        <w:t xml:space="preserve"> </w:t>
      </w:r>
      <w:r>
        <w:t xml:space="preserve">digital product passport; circular economy; apparel supply chains; organizational information processing theory; fsQCA;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Supply chain design rarely has one right answer. A vertically integrated mill-to-garment exporter and a small Tiruppur knitter that relies on job-work dyehouses face the same passport but start from very different structures. We therefore ask a configurational question:</w:t>
      </w:r>
      <w:r>
        <w:t xml:space="preserve"> </w:t>
      </w:r>
      <w:r>
        <w:rPr>
          <w:iCs/>
          <w:i/>
        </w:rPr>
        <w:t xml:space="preserve">Which combinations of supplier conditions lead to high passport readiness, which lead to its absence, and is readiness enough for circularity?</w:t>
      </w:r>
      <w:r>
        <w:t xml:space="preserve"> </w:t>
      </w:r>
      <w:r>
        <w:t xml:space="preserve">To make sense of a fast-moving regulatory landscape (Fawcett &amp; Waller, 2011), we draw on organizational information processing theory (OIPT; Galbraith, 1974; Tushman &amp; Nadler, 1978) and institutional theory (Meyer &amp; Rowan, 1977). We analyse 2026–27 data from Indian textile and apparel exporters with fuzzy-set qualitative comparative analysis (fsQCA; Fiss, 2011; Ragin, 2008), which is designed for exactly this kind of question.</w:t>
      </w:r>
    </w:p>
    <w:p>
      <w:pPr>
        <w:pStyle w:val="BodyText"/>
      </w:pPr>
      <w:r>
        <w:t xml:space="preserve">We make three contributions. First, we extend OIPT from a single-route logic of</w:t>
      </w:r>
      <w:r>
        <w:t xml:space="preserve"> </w:t>
      </w:r>
      <w:r>
        <w:t xml:space="preserve">“</w:t>
      </w:r>
      <w:r>
        <w:t xml:space="preserve">fit</w:t>
      </w:r>
      <w:r>
        <w:t xml:space="preserve">”</w:t>
      </w:r>
      <w:r>
        <w:t xml:space="preserve"> </w:t>
      </w:r>
      <w:r>
        <w:t xml:space="preserve">to</w:t>
      </w:r>
      <w:r>
        <w:t xml:space="preserve"> </w:t>
      </w:r>
      <w:r>
        <w:rPr>
          <w:iCs/>
          <w:i/>
        </w:rPr>
        <w:t xml:space="preserve">equifinal</w:t>
      </w:r>
      <w:r>
        <w:t xml:space="preserve"> </w:t>
      </w:r>
      <w:r>
        <w:t xml:space="preserve">routes to fit under regulation-induced, multi-tier information requirements. Second, we show when buyer pressure fails, by identifying</w:t>
      </w:r>
      <w:r>
        <w:t xml:space="preserve"> </w:t>
      </w:r>
      <w:r>
        <w:rPr>
          <w:iCs/>
          <w:i/>
        </w:rPr>
        <w:t xml:space="preserve">data-appropriation concern</w:t>
      </w:r>
      <w:r>
        <w:t xml:space="preserve"> </w:t>
      </w:r>
      <w:r>
        <w:t xml:space="preserve">as a condition that turns pressure into resistance. Third, we test whether passport readiness is sufficient for circular capability or decoupled from it. That test speaks to the connections and trade-offs between sustainability, risk and operational excellence that supply chain designers must manage.</w:t>
      </w:r>
    </w:p>
    <w:bookmarkEnd w:id="21"/>
    <w:bookmarkStart w:id="27" w:name="theory-and-propositions"/>
    <w:p>
      <w:pPr>
        <w:pStyle w:val="Heading1"/>
      </w:pPr>
      <w:r>
        <w:t xml:space="preserve">Theory and Propositions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Galbraith (1974) described several design responses: firms can reduce the need for information, for example by bringing interdependent activities under one roof, or raise capacity through vertical information systems or lateral relations across boundaries (Premkumar et al., 2005; Srinivasan &amp; Swink, 2018). Crucially for our purposes, Galbraith presented these as</w:t>
      </w:r>
      <w:r>
        <w:t xml:space="preserve"> </w:t>
      </w:r>
      <w:r>
        <w:rPr>
          <w:iCs/>
          <w:i/>
        </w:rPr>
        <w:t xml:space="preserve">alternative</w:t>
      </w:r>
      <w:r>
        <w:t xml:space="preserve"> </w:t>
      </w:r>
      <w:r>
        <w:t xml:space="preserve">strategies, which is an inherently configurational idea.</w:t>
      </w:r>
    </w:p>
    <w:p>
      <w:pPr>
        <w:pStyle w:val="BodyText"/>
      </w:pPr>
      <w:r>
        <w:t xml:space="preserve">Supply chain research has mostly tested OIPT with variance-based models that estimate the average net effect of each capability (e.g., Srinivasan &amp; Swink, 2018). Supply chain design suggests otherwise: very different designs can perform equally well (Misangyi et al., 2017). Configurational theory makes this explicit through</w:t>
      </w:r>
      <w:r>
        <w:t xml:space="preserve"> </w:t>
      </w:r>
      <w:r>
        <w:rPr>
          <w:iCs/>
          <w:i/>
        </w:rPr>
        <w:t xml:space="preserve">conjunction</w:t>
      </w:r>
      <w:r>
        <w:t xml:space="preserve"> </w:t>
      </w:r>
      <w:r>
        <w:t xml:space="preserve">(conditions work in combination),</w:t>
      </w:r>
      <w:r>
        <w:t xml:space="preserve"> </w:t>
      </w:r>
      <w:r>
        <w:rPr>
          <w:iCs/>
          <w:i/>
        </w:rPr>
        <w:t xml:space="preserve">equifinality</w:t>
      </w:r>
      <w:r>
        <w:t xml:space="preserve"> </w:t>
      </w:r>
      <w:r>
        <w:t xml:space="preserve">(several combinations lead to the same outcome) and</w:t>
      </w:r>
      <w:r>
        <w:t xml:space="preserve"> </w:t>
      </w:r>
      <w:r>
        <w:rPr>
          <w:iCs/>
          <w:i/>
        </w:rPr>
        <w:t xml:space="preserve">asymmetry</w:t>
      </w:r>
      <w:r>
        <w:t xml:space="preserve"> </w:t>
      </w:r>
      <w:r>
        <w:t xml:space="preserve">(failure is not simply the reverse of success).</w:t>
      </w:r>
    </w:p>
    <w:p>
      <w:pPr>
        <w:pStyle w:val="BodyText"/>
      </w:pPr>
      <w:r>
        <w:t xml:space="preserve">The DPP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contractual data clauses. This</w:t>
      </w:r>
      <w:r>
        <w:t xml:space="preserve"> </w:t>
      </w:r>
      <w:r>
        <w:rPr>
          <w:bCs/>
          <w:b/>
        </w:rPr>
        <w:t xml:space="preserve">buyer-transmitted pressure</w:t>
      </w:r>
      <w:r>
        <w:t xml:space="preserve"> </w:t>
      </w:r>
      <w:r>
        <w:t xml:space="preserve">is coercive in institutional terms (DiMaggio &amp; Powell, 1983; Zhu &amp; Sarkis, 2007), but its content is informational. Indian apparel supply chains make it unusually demanding. Production is fragmented across small firms; dyeing, printing and embroidery are often subcontracted as job work; and yarn and fabric are bought through traders who may not disclose the mill of origin. A single garment can pass through five or more independent firms, each holding a fragment of the passport’s data.</w:t>
      </w:r>
    </w:p>
    <w:bookmarkEnd w:id="22"/>
    <w:bookmarkStart w:id="26" w:name="X6728f2c0576a76137f43d5de804cbe99f6e80c9"/>
    <w:p>
      <w:pPr>
        <w:pStyle w:val="Heading2"/>
      </w:pPr>
      <w:r>
        <w:t xml:space="preserve">Conditions and Configurational Propositions</w:t>
      </w:r>
    </w:p>
    <w:p>
      <w:pPr>
        <w:pStyle w:val="FirstParagraph"/>
      </w:pPr>
      <w:r>
        <w:t xml:space="preserve">We consider five conditions.</w:t>
      </w:r>
      <w:r>
        <w:t xml:space="preserve"> </w:t>
      </w:r>
      <w:r>
        <w:rPr>
          <w:bCs/>
          <w:b/>
        </w:rPr>
        <w:t xml:space="preserve">Vertical integration</w:t>
      </w:r>
      <w:r>
        <w:t xml:space="preserve"> </w:t>
      </w:r>
      <w:r>
        <w:t xml:space="preserve">is the share of processing stages (spinning to stitching) performed in-house; it</w:t>
      </w:r>
      <w:r>
        <w:t xml:space="preserve"> </w:t>
      </w:r>
      <w:r>
        <w:rPr>
          <w:iCs/>
          <w:i/>
        </w:rPr>
        <w:t xml:space="preserve">owns</w:t>
      </w:r>
      <w:r>
        <w:t xml:space="preserve"> </w:t>
      </w:r>
      <w:r>
        <w:t xml:space="preserve">the data by internalising interdependence.</w:t>
      </w:r>
      <w:r>
        <w:t xml:space="preserve"> </w:t>
      </w:r>
      <w:r>
        <w:rPr>
          <w:bCs/>
          <w:b/>
        </w:rPr>
        <w:t xml:space="preserve">Multi-tier data sharing</w:t>
      </w:r>
      <w:r>
        <w:t xml:space="preserve"> </w:t>
      </w:r>
      <w:r>
        <w:t xml:space="preserve">is the extent to which independent upstream suppliers provide timely, accurate data (Fawcett et al., 2007; Kembro et al., 2017); it</w:t>
      </w:r>
      <w:r>
        <w:t xml:space="preserve"> </w:t>
      </w:r>
      <w:r>
        <w:rPr>
          <w:iCs/>
          <w:i/>
        </w:rPr>
        <w:t xml:space="preserve">negotiates</w:t>
      </w:r>
      <w:r>
        <w:t xml:space="preserve"> </w:t>
      </w:r>
      <w:r>
        <w:t xml:space="preserve">for the data.</w:t>
      </w:r>
      <w:r>
        <w:t xml:space="preserve"> </w:t>
      </w:r>
      <w:r>
        <w:rPr>
          <w:bCs/>
          <w:b/>
        </w:rPr>
        <w:t xml:space="preserve">Chain-of-custody certification</w:t>
      </w:r>
      <w:r>
        <w:t xml:space="preserve"> </w:t>
      </w:r>
      <w:r>
        <w:t xml:space="preserve">is the share of EU shipments covered by transaction certificates under schemes such as GOTS or GRS, which document fibre content and the facility at each stage; it</w:t>
      </w:r>
      <w:r>
        <w:t xml:space="preserve"> </w:t>
      </w:r>
      <w:r>
        <w:rPr>
          <w:iCs/>
          <w:i/>
        </w:rPr>
        <w:t xml:space="preserve">borrows</w:t>
      </w:r>
      <w:r>
        <w:t xml:space="preserve"> </w:t>
      </w:r>
      <w:r>
        <w:t xml:space="preserve">the data from an institutional infrastructure.</w:t>
      </w:r>
      <w:r>
        <w:t xml:space="preserve"> </w:t>
      </w:r>
      <w:r>
        <w:rPr>
          <w:bCs/>
          <w:b/>
        </w:rPr>
        <w:t xml:space="preserve">Digital traceability</w:t>
      </w:r>
      <w:r>
        <w:t xml:space="preserve"> </w:t>
      </w:r>
      <w:r>
        <w:t xml:space="preserve">is structured, interoperable digital capture of material and process data linked to batches and styles (Agrawal et al., 2021; Kouhizadeh et al., 2021); it turns data into passport-ready form.</w:t>
      </w:r>
      <w:r>
        <w:t xml:space="preserve"> </w:t>
      </w:r>
      <w:r>
        <w:rPr>
          <w:bCs/>
          <w:b/>
        </w:rPr>
        <w:t xml:space="preserve">Data-appropriation concern</w:t>
      </w:r>
      <w:r>
        <w:t xml:space="preserve"> </w:t>
      </w:r>
      <w:r>
        <w:t xml:space="preserve">is the fear that shared data will be used to squeeze prices or bypass the supplier (King et al., 2023; Sodhi &amp; Tang, 2019).</w:t>
      </w:r>
    </w:p>
    <w:p>
      <w:pPr>
        <w:pStyle w:val="BodyText"/>
      </w:pPr>
      <w:r>
        <w:t xml:space="preserve">Buyer pressure is treated as a</w:t>
      </w:r>
      <w:r>
        <w:t xml:space="preserve"> </w:t>
      </w:r>
      <w:r>
        <w:rPr>
          <w:iCs/>
          <w:i/>
        </w:rPr>
        <w:t xml:space="preserve">background condition</w:t>
      </w:r>
      <w:r>
        <w:t xml:space="preserve">. Nearly every Indian firm supplying EU brands now receives data requests, so pressure defines the setting rather than distinguishing firms within it. We measure and report it, and we reintroduce it as a condition in a robustness check.</w:t>
      </w:r>
    </w:p>
    <w:p>
      <w:pPr>
        <w:pStyle w:val="BodyText"/>
      </w:pPr>
      <w:r>
        <w:t xml:space="preserve">Ownership, negotiation and borrowing are alternative ways of reaching upstream data. Galbraith (1974) would predict that any one can be enough.</w:t>
      </w:r>
    </w:p>
    <w:p>
      <w:pPr>
        <w:pStyle w:val="BlockText"/>
      </w:pPr>
      <w:r>
        <w:rPr>
          <w:bCs/>
          <w:b/>
        </w:rPr>
        <w:t xml:space="preserve">P1 (equifinality).</w:t>
      </w:r>
      <w:r>
        <w:t xml:space="preserve"> </w:t>
      </w:r>
      <w:r>
        <w:t xml:space="preserve">High DPP readiness results from several configurations: data that are</w:t>
      </w:r>
      <w:r>
        <w:t xml:space="preserve"> </w:t>
      </w:r>
      <w:r>
        <w:rPr>
          <w:iCs/>
          <w:i/>
        </w:rPr>
        <w:t xml:space="preserve">owned</w:t>
      </w:r>
      <w:r>
        <w:t xml:space="preserve"> </w:t>
      </w:r>
      <w:r>
        <w:t xml:space="preserve">(vertical integration) or</w:t>
      </w:r>
      <w:r>
        <w:t xml:space="preserve"> </w:t>
      </w:r>
      <w:r>
        <w:rPr>
          <w:iCs/>
          <w:i/>
        </w:rPr>
        <w:t xml:space="preserve">negotiated</w:t>
      </w:r>
      <w:r>
        <w:t xml:space="preserve"> </w:t>
      </w:r>
      <w:r>
        <w:t xml:space="preserve">(multi-tier sharing without appropriation concern) combined with digital traceability, and data that are</w:t>
      </w:r>
      <w:r>
        <w:t xml:space="preserve"> </w:t>
      </w:r>
      <w:r>
        <w:rPr>
          <w:iCs/>
          <w:i/>
        </w:rPr>
        <w:t xml:space="preserve">borrowed</w:t>
      </w:r>
      <w:r>
        <w:t xml:space="preserve"> </w:t>
      </w:r>
      <w:r>
        <w:t xml:space="preserve">through chain-of-custody certification.</w:t>
      </w:r>
    </w:p>
    <w:p>
      <w:pPr>
        <w:pStyle w:val="FirstParagraph"/>
      </w:pPr>
      <w:r>
        <w:t xml:space="preserve">Systems without data are empty containers. But certification schemes already digitise much of the chain, so borrowed data may substitute for a firm’s own systems.</w:t>
      </w:r>
    </w:p>
    <w:p>
      <w:pPr>
        <w:pStyle w:val="BlockText"/>
      </w:pPr>
      <w:r>
        <w:rPr>
          <w:bCs/>
          <w:b/>
        </w:rPr>
        <w:t xml:space="preserve">P2 (substitution).</w:t>
      </w:r>
      <w:r>
        <w:t xml:space="preserve"> </w:t>
      </w:r>
      <w:r>
        <w:t xml:space="preserve">Digital traceability is not necessary for high DPP readiness when chain-of-custody certification is present.</w:t>
      </w:r>
    </w:p>
    <w:p>
      <w:pPr>
        <w:pStyle w:val="FirstParagraph"/>
      </w:pPr>
      <w:r>
        <w:t xml:space="preserve">Pressure alone should not create readiness. Where suppliers fear appropriation, requests produce selective disclosure rather than data (Fawcett et al., 2007). Because fsQCA allows causal asymmetry, the absence of readiness need not mirror its presence.</w:t>
      </w:r>
    </w:p>
    <w:p>
      <w:pPr>
        <w:pStyle w:val="BlockText"/>
      </w:pPr>
      <w:r>
        <w:rPr>
          <w:bCs/>
          <w:b/>
        </w:rPr>
        <w:t xml:space="preserve">P3 (asymmetry).</w:t>
      </w:r>
      <w:r>
        <w:t xml:space="preserve"> </w:t>
      </w:r>
      <w:r>
        <w:t xml:space="preserve">Data-appropriation concern, in the absence of both vertical integration and certification, is sufficient for low DPP readiness.</w:t>
      </w:r>
    </w:p>
    <w:p>
      <w:pPr>
        <w:pStyle w:val="FirstParagraph"/>
      </w:pPr>
      <w:r>
        <w:t xml:space="preserve">Finally, the passport’s policy logic is that information enables circularity: knowing fibre blends and chemistry makes sorting, recycling and reuse feasible (Adisorn et al., 2021; Jensen et al., 2023). Institutional theory warns, however, that firms facing coercive demands often</w:t>
      </w:r>
      <w:r>
        <w:t xml:space="preserve"> </w:t>
      </w:r>
      <w:r>
        <w:rPr>
          <w:iCs/>
          <w:i/>
        </w:rPr>
        <w:t xml:space="preserve">decouple</w:t>
      </w:r>
      <w:r>
        <w:t xml:space="preserve">, adopting the visible structure while leaving practice unchanged (Meyer &amp; Rowan, 1977). Indian clusters also run an extensive</w:t>
      </w:r>
      <w:r>
        <w:t xml:space="preserve"> </w:t>
      </w:r>
      <w:r>
        <w:rPr>
          <w:iCs/>
          <w:i/>
        </w:rPr>
        <w:t xml:space="preserve">informal</w:t>
      </w:r>
      <w:r>
        <w:t xml:space="preserve"> </w:t>
      </w:r>
      <w:r>
        <w:t xml:space="preserve">circular economy that needs no data: cutting waste is sold to recyclers in Panipat, and export surplus is resold domestically. We therefore distinguish informal from</w:t>
      </w:r>
      <w:r>
        <w:t xml:space="preserve"> </w:t>
      </w:r>
      <w:r>
        <w:rPr>
          <w:iCs/>
          <w:i/>
        </w:rPr>
        <w:t xml:space="preserve">formal</w:t>
      </w:r>
      <w:r>
        <w:t xml:space="preserve">, brand-led circularity (recycled inputs, design-for-recycling, take-back).</w:t>
      </w:r>
    </w:p>
    <w:p>
      <w:pPr>
        <w:pStyle w:val="BlockText"/>
      </w:pPr>
      <w:r>
        <w:rPr>
          <w:bCs/>
          <w:b/>
        </w:rPr>
        <w:t xml:space="preserve">P4 (two circularities).</w:t>
      </w:r>
      <w:r>
        <w:t xml:space="preserve"> </w:t>
      </w:r>
      <w:r>
        <w:t xml:space="preserve">DPP readiness is not, on its own, sufficient for formal circular practice, while informal circularity occurs regardless of readiness.</w:t>
      </w:r>
    </w:p>
    <w:p>
      <w:pPr>
        <w:pStyle w:val="FirstParagraph"/>
      </w:pPr>
      <w:r>
        <w:t xml:space="preserve">Figure 1 summarises the configurational model.</w:t>
      </w:r>
    </w:p>
    <w:p>
      <w:pPr>
        <w:pStyle w:val="CaptionedFigure"/>
      </w:pPr>
      <w:r>
        <w:drawing>
          <wp:inline>
            <wp:extent cx="5334000" cy="2179982"/>
            <wp:effectExtent b="0" l="0" r="0" t="0"/>
            <wp:docPr descr="Configurational model. Two expected routes to passport readiness (P1), digital traceability as a necessary condition (P2), a route to low readiness (P3), and the readiness–circularity test (P4)." title="" id="24" name="Picture"/>
            <a:graphic>
              <a:graphicData uri="http://schemas.openxmlformats.org/drawingml/2006/picture">
                <pic:pic>
                  <pic:nvPicPr>
                    <pic:cNvPr descr="figure1_model.png" id="25" name="Picture"/>
                    <pic:cNvPicPr>
                      <a:picLocks noChangeArrowheads="1" noChangeAspect="1"/>
                    </pic:cNvPicPr>
                  </pic:nvPicPr>
                  <pic:blipFill>
                    <a:blip r:embed="rId23"/>
                    <a:stretch>
                      <a:fillRect/>
                    </a:stretch>
                  </pic:blipFill>
                  <pic:spPr bwMode="auto">
                    <a:xfrm>
                      <a:off x="0" y="0"/>
                      <a:ext cx="5334000" cy="2179982"/>
                    </a:xfrm>
                    <a:prstGeom prst="rect">
                      <a:avLst/>
                    </a:prstGeom>
                    <a:noFill/>
                    <a:ln w="9525">
                      <a:noFill/>
                      <a:headEnd/>
                      <a:tailEnd/>
                    </a:ln>
                  </pic:spPr>
                </pic:pic>
              </a:graphicData>
            </a:graphic>
          </wp:inline>
        </w:drawing>
      </w:r>
    </w:p>
    <w:p>
      <w:pPr>
        <w:pStyle w:val="ImageCaption"/>
      </w:pPr>
      <w:r>
        <w:t xml:space="preserve">Configurational model. Two expected routes to passport readiness (P1), digital traceability as a necessary condition (P2), a route to low readiness (P3), and the readiness–circularity test (P4).</w:t>
      </w:r>
    </w:p>
    <w:bookmarkEnd w:id="26"/>
    <w:bookmarkEnd w:id="27"/>
    <w:bookmarkStart w:id="32" w:name="method"/>
    <w:p>
      <w:pPr>
        <w:pStyle w:val="Heading1"/>
      </w:pPr>
      <w:r>
        <w:t xml:space="preserve">Method</w:t>
      </w:r>
    </w:p>
    <w:bookmarkStart w:id="28" w:name="why-fsqca"/>
    <w:p>
      <w:pPr>
        <w:pStyle w:val="Heading2"/>
      </w:pPr>
      <w:r>
        <w:t xml:space="preserve">Why fsQCA</w:t>
      </w:r>
    </w:p>
    <w:p>
      <w:pPr>
        <w:pStyle w:val="FirstParagraph"/>
      </w:pPr>
      <w:r>
        <w:t xml:space="preserve">fsQCA treats each firm as a configuration of conditions and uses Boolean minimisation to identify combinations that are consistently sufficient or necessary for an outcome (Ragin, 2008; Schneider &amp; Wagemann, 2012). It suits small-to-medium samples and combines cross-case comparison with case knowledge (Greckhamer et al., 2018).</w:t>
      </w:r>
    </w:p>
    <w:bookmarkEnd w:id="28"/>
    <w:bookmarkStart w:id="29" w:name="sample-and-data-collection"/>
    <w:p>
      <w:pPr>
        <w:pStyle w:val="Heading2"/>
      </w:pPr>
      <w:r>
        <w:t xml:space="preserve">Sample and Data Collection</w:t>
      </w:r>
    </w:p>
    <w:p>
      <w:pPr>
        <w:pStyle w:val="FirstParagraph"/>
      </w:pPr>
      <w:r>
        <w:t xml:space="preserve">The population is Indian textile and apparel manufacturer-exporters with at least one EU buyer. Following QCA practice, we used purposive, diversity-oriented sampling rather than random sampling (Greckhamer et al., 2018), aiming for variation across clusters (Tiruppur, Bengaluru, the National Capital Region, Ludhiana and Kolkata), supply chain tiers, firm sizes and degrees of integration. Firms were approached through the Apparel Export Promotion Council, cluster associations and referrals. Between December 2026 and February 2027, trained researchers administered a structured questionnaire in person or by video call (30–40 minutes) to owners, directors, or heads of compliance, sustainability or merchandising. Each session ended with three open questions, to build the case knowledge needed to interpret configurations. The final sample comprises 50 firms (17 in Tiruppur/Coimbatore, 11 in NCR, 8 in Ludhiana, 6 in Bengaluru, 5 in Panipat and 3 elsewhere; 46 garment or home-textile makers and 4 mills; median 518 employees).</w:t>
      </w:r>
    </w:p>
    <w:p>
      <w:pPr>
        <w:pStyle w:val="BodyText"/>
      </w:pPr>
      <w:r>
        <w:t xml:space="preserve">Three steps protected data quality. First, factual items were asked as concrete yes/no questions about current practice (</w:t>
      </w:r>
      <w:r>
        <w:t xml:space="preserve">“</w:t>
      </w:r>
      <w:r>
        <w:t xml:space="preserve">Can you supply, today, verified data on…?</w:t>
      </w:r>
      <w:r>
        <w:t xml:space="preserve">”</w:t>
      </w:r>
      <w:r>
        <w:t xml:space="preserve">). Where respondents agreed, researchers sighted a sample document, such as a transaction certificate, a test report or a buyer data template, for [share, from the fieldwork log; not simulated]% of firms. Second, interviews were conducted by two researchers, who resolved coding disagreements by discussion. Third, the case notes from the open questions were kept alongside the data matrix, so that each configuration could be traced back to recognisable firms. This is the case knowledge that distinguishes fsQCA from purely statistical analysis (Greckhamer et al., 2018).</w:t>
      </w:r>
    </w:p>
    <w:bookmarkEnd w:id="29"/>
    <w:bookmarkStart w:id="30" w:name="measures-and-calibration"/>
    <w:p>
      <w:pPr>
        <w:pStyle w:val="Heading2"/>
      </w:pPr>
      <w:r>
        <w:t xml:space="preserve">Measures and Calibration</w:t>
      </w:r>
    </w:p>
    <w:p>
      <w:pPr>
        <w:pStyle w:val="FirstParagraph"/>
      </w:pPr>
      <w:r>
        <w:t xml:space="preserve">To limit the burden of scale development and the risk of common-method bias (Podsakoff et al., 2003), four conditions and both outcomes use</w:t>
      </w:r>
      <w:r>
        <w:t xml:space="preserve"> </w:t>
      </w:r>
      <w:r>
        <w:rPr>
          <w:iCs/>
          <w:i/>
        </w:rPr>
        <w:t xml:space="preserve">factual</w:t>
      </w:r>
      <w:r>
        <w:t xml:space="preserve"> </w:t>
      </w:r>
      <w:r>
        <w:t xml:space="preserve">measures rather than attitude scales (Online Appendix A).</w:t>
      </w:r>
      <w:r>
        <w:t xml:space="preserve"> </w:t>
      </w:r>
      <w:r>
        <w:rPr>
          <w:bCs/>
          <w:b/>
        </w:rPr>
        <w:t xml:space="preserve">DPP readiness</w:t>
      </w:r>
      <w:r>
        <w:t xml:space="preserve"> </w:t>
      </w:r>
      <w:r>
        <w:t xml:space="preserve">counts the passport data categories (of seven) that the firm can supply, verified and at style or batch level, today.</w:t>
      </w:r>
      <w:r>
        <w:t xml:space="preserve"> </w:t>
      </w:r>
      <w:r>
        <w:rPr>
          <w:bCs/>
          <w:b/>
        </w:rPr>
        <w:t xml:space="preserve">Circular capability</w:t>
      </w:r>
      <w:r>
        <w:t xml:space="preserve"> </w:t>
      </w:r>
      <w:r>
        <w:t xml:space="preserve">counts circular practices in place (of five).</w:t>
      </w:r>
      <w:r>
        <w:t xml:space="preserve"> </w:t>
      </w:r>
      <w:r>
        <w:rPr>
          <w:bCs/>
          <w:b/>
        </w:rPr>
        <w:t xml:space="preserve">Digital traceability</w:t>
      </w:r>
      <w:r>
        <w:t xml:space="preserve"> </w:t>
      </w:r>
      <w:r>
        <w:t xml:space="preserve">counts digital practices in place (of five).</w:t>
      </w:r>
      <w:r>
        <w:t xml:space="preserve"> </w:t>
      </w:r>
      <w:r>
        <w:rPr>
          <w:bCs/>
          <w:b/>
        </w:rPr>
        <w:t xml:space="preserve">Vertical integration</w:t>
      </w:r>
      <w:r>
        <w:t xml:space="preserve"> </w:t>
      </w:r>
      <w:r>
        <w:t xml:space="preserve">counts the processing stages performed in-house (of six).</w:t>
      </w:r>
      <w:r>
        <w:t xml:space="preserve"> </w:t>
      </w:r>
      <w:r>
        <w:rPr>
          <w:bCs/>
          <w:b/>
        </w:rPr>
        <w:t xml:space="preserve">Multi-tier data sharing</w:t>
      </w:r>
      <w:r>
        <w:t xml:space="preserve"> </w:t>
      </w:r>
      <w:r>
        <w:t xml:space="preserve">is the share of key upstream suppliers that provide origin and chemical data.</w:t>
      </w:r>
      <w:r>
        <w:t xml:space="preserve"> </w:t>
      </w:r>
      <w:r>
        <w:rPr>
          <w:bCs/>
          <w:b/>
        </w:rPr>
        <w:t xml:space="preserve">Certification</w:t>
      </w:r>
      <w:r>
        <w:t xml:space="preserve"> </w:t>
      </w:r>
      <w:r>
        <w:t xml:space="preserve">is the share of EU shipments covered by transaction certificates, checked against a recent certificate.</w:t>
      </w:r>
      <w:r>
        <w:t xml:space="preserve"> </w:t>
      </w:r>
      <w:r>
        <w:rPr>
          <w:bCs/>
          <w:b/>
        </w:rPr>
        <w:t xml:space="preserve">Data-appropriation concern</w:t>
      </w:r>
      <w:r>
        <w:t xml:space="preserve"> </w:t>
      </w:r>
      <w:r>
        <w:t xml:space="preserve">and the background measure of</w:t>
      </w:r>
      <w:r>
        <w:t xml:space="preserve"> </w:t>
      </w:r>
      <w:r>
        <w:rPr>
          <w:bCs/>
          <w:b/>
        </w:rPr>
        <w:t xml:space="preserve">buyer pressure</w:t>
      </w:r>
      <w:r>
        <w:t xml:space="preserve"> </w:t>
      </w:r>
      <w:r>
        <w:t xml:space="preserve">are three-item, 7-point scales, averaged after reliability checks; their content was reviewed by six industry and academic experts.</w:t>
      </w:r>
    </w:p>
    <w:p>
      <w:pPr>
        <w:pStyle w:val="BodyText"/>
      </w:pPr>
      <w:r>
        <w:t xml:space="preserve">We calibrated raw values into fuzzy-set membership using the direct method (Ragin, 2008), with substantively justified anchors for full membership, the crossover point and full non-membership (Table 1). For example, a firm is fully in the set of</w:t>
      </w:r>
      <w:r>
        <w:t xml:space="preserve"> </w:t>
      </w:r>
      <w:r>
        <w:t xml:space="preserve">“</w:t>
      </w:r>
      <w:r>
        <w:t xml:space="preserve">DPP-ready</w:t>
      </w:r>
      <w:r>
        <w:t xml:space="preserve">”</w:t>
      </w:r>
      <w:r>
        <w:t xml:space="preserve"> </w:t>
      </w:r>
      <w:r>
        <w:t xml:space="preserve">firms when it can supply six or seven categories, and fully out when it can supply one or none. Membership scores of exactly 0.5 were shifted to 0.501 (Fiss, 2011). Anchors were set from substantive knowledge, not from the sample distribution: the readiness anchors reflect the data categories that the textile DPP study expects (European Parliamentary Research Service, 2024), and the integration anchors distinguish garment-only firms from firms that also own fabric and wet processing. The expert panel reviewed all anchors before data collection, and the raw distributions are reported in Online Appendix A so that readers can judge them.</w:t>
      </w:r>
    </w:p>
    <w:p>
      <w:pPr>
        <w:pStyle w:val="BodyText"/>
      </w:pPr>
      <w:r>
        <w:rPr>
          <w:bCs/>
          <w:b/>
        </w:rPr>
        <w:t xml:space="preserve">Table 1.</w:t>
      </w:r>
      <w:r>
        <w:t xml:space="preserve"> </w:t>
      </w:r>
      <w:r>
        <w:t xml:space="preserve">Conditions, outcomes and calibration anchors.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w:t>
            </w:r>
          </w:p>
        </w:tc>
        <w:tc>
          <w:tcPr/>
          <w:p>
            <w:pPr>
              <w:pStyle w:val="Compact"/>
              <w:jc w:val="left"/>
            </w:pPr>
            <w:r>
              <w:t xml:space="preserve">Raw measure</w:t>
            </w:r>
          </w:p>
        </w:tc>
        <w:tc>
          <w:tcPr/>
          <w:p>
            <w:pPr>
              <w:pStyle w:val="Compact"/>
              <w:jc w:val="left"/>
            </w:pPr>
            <w:r>
              <w:t xml:space="preserve">Full out (0.05)</w:t>
            </w:r>
          </w:p>
        </w:tc>
        <w:tc>
          <w:tcPr/>
          <w:p>
            <w:pPr>
              <w:pStyle w:val="Compact"/>
              <w:jc w:val="left"/>
            </w:pPr>
            <w:r>
              <w:t xml:space="preserve">Crossover (0.5)</w:t>
            </w:r>
          </w:p>
        </w:tc>
        <w:tc>
          <w:tcPr/>
          <w:p>
            <w:pPr>
              <w:pStyle w:val="Compact"/>
              <w:jc w:val="left"/>
            </w:pPr>
            <w:r>
              <w:t xml:space="preserve">Full in (0.95)</w:t>
            </w:r>
          </w:p>
        </w:tc>
      </w:tr>
      <w:tr>
        <w:tc>
          <w:tcPr/>
          <w:p>
            <w:pPr>
              <w:pStyle w:val="Compact"/>
              <w:jc w:val="left"/>
            </w:pPr>
            <w:r>
              <w:t xml:space="preserve">DPP readiness (outcome)</w:t>
            </w:r>
          </w:p>
        </w:tc>
        <w:tc>
          <w:tcPr/>
          <w:p>
            <w:pPr>
              <w:pStyle w:val="Compact"/>
              <w:jc w:val="left"/>
            </w:pPr>
            <w:r>
              <w:t xml:space="preserve">Data categories supplied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r>
      <w:tr>
        <w:tc>
          <w:tcPr/>
          <w:p>
            <w:pPr>
              <w:pStyle w:val="Compact"/>
              <w:jc w:val="left"/>
            </w:pPr>
            <w:r>
              <w:t xml:space="preserve">Circular capability (outcome)</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Digital traceability</w:t>
            </w:r>
          </w:p>
        </w:tc>
        <w:tc>
          <w:tcPr/>
          <w:p>
            <w:pPr>
              <w:pStyle w:val="Compact"/>
              <w:jc w:val="left"/>
            </w:pPr>
            <w:r>
              <w:t xml:space="preserve">Practices in place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Vertical integration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r>
      <w:tr>
        <w:tc>
          <w:tcPr/>
          <w:p>
            <w:pPr>
              <w:pStyle w:val="Compact"/>
              <w:jc w:val="left"/>
            </w:pPr>
            <w:r>
              <w:t xml:space="preserve">Multi-tier data sharing</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Chain-of-custody certification</w:t>
            </w:r>
          </w:p>
        </w:tc>
        <w:tc>
          <w:tcPr/>
          <w:p>
            <w:pPr>
              <w:pStyle w:val="Compact"/>
              <w:jc w:val="left"/>
            </w:pPr>
            <w:r>
              <w:t xml:space="preserve">% of EU shipments under transaction certificates</w:t>
            </w:r>
          </w:p>
        </w:tc>
        <w:tc>
          <w:tcPr/>
          <w:p>
            <w:pPr>
              <w:pStyle w:val="Compact"/>
              <w:jc w:val="left"/>
            </w:pPr>
            <w:r>
              <w:t xml:space="preserve">5%</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Data-appropriation concern</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r>
        <w:tc>
          <w:tcPr/>
          <w:p>
            <w:pPr>
              <w:pStyle w:val="Compact"/>
              <w:jc w:val="left"/>
            </w:pPr>
            <w:r>
              <w:rPr>
                <w:iCs/>
                <w:i/>
              </w:rPr>
              <w:t xml:space="preserve">Buyer pressure (background; robustness only)</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bl>
    <w:bookmarkEnd w:id="30"/>
    <w:bookmarkStart w:id="31" w:name="analysis"/>
    <w:p>
      <w:pPr>
        <w:pStyle w:val="Heading2"/>
      </w:pPr>
      <w:r>
        <w:t xml:space="preserve">Analysis</w:t>
      </w:r>
    </w:p>
    <w:p>
      <w:pPr>
        <w:pStyle w:val="FirstParagraph"/>
      </w:pPr>
      <w:r>
        <w:t xml:space="preserve">Using the QCA package in R (Dusa, 2019), we first tested each condition for necessity (consistency ≥ 0.90; Schneider &amp; Wagemann, 2012). We then built truth tables for high and low readiness, with a frequency threshold of one case, raw consistency ≥ 0.80 and PRI consistency ≥ 0.70 (Greckhamer et al., 2018; Ragin, 2008). We report intermediate solutions based on the directional expectations in P1–P3, distinguishing core from peripheral conditions (Fiss, 2011). For P4, we analysed circular capability with readiness included as a condition, both for all circular practices and for</w:t>
      </w:r>
      <w:r>
        <w:t xml:space="preserve"> </w:t>
      </w:r>
      <w:r>
        <w:rPr>
          <w:iCs/>
          <w:i/>
        </w:rPr>
        <w:t xml:space="preserve">formal</w:t>
      </w:r>
      <w:r>
        <w:t xml:space="preserve"> </w:t>
      </w:r>
      <w:r>
        <w:t xml:space="preserve">practices only (recycled inputs, design-for-recycling, take-back), because informal practices such as selling cutting waste need no product data. With five conditions there are 32 logically possible configurations, and a sample of this size will not cover all of them (limited diversity). We therefore report how many truth-table rows contain cases, and we justify every simplifying assumption made for the intermediate solution against theory, avoiding untenable assumptions about configurations not observed in the sample (Schneider &amp; Wagemann, 2012). Robustness checks varied calibration anchors, the consistency threshold (0.75–0.85) and the frequency threshold, replaced certification with buyer pressure, and added buyer pressure as a sixth condition (Online Appendix B).</w:t>
      </w:r>
    </w:p>
    <w:bookmarkEnd w:id="31"/>
    <w:bookmarkEnd w:id="32"/>
    <w:bookmarkStart w:id="33" w:name="results"/>
    <w:p>
      <w:pPr>
        <w:pStyle w:val="Heading1"/>
      </w:pPr>
      <w:r>
        <w:t xml:space="preserve">Results</w:t>
      </w:r>
    </w:p>
    <w:p>
      <w:pPr>
        <w:pStyle w:val="FirstParagraph"/>
      </w:pPr>
      <w:r>
        <w:t xml:space="preserve">Cronbach’s α was 0.86 for appropriation concern and 0.76 for buyer pressure. Eighteen of the 32 truth-table rows contained cases. As expected, buyer pressure was a background condition: 86% of firms were above the crossover.</w:t>
      </w:r>
    </w:p>
    <w:p>
      <w:pPr>
        <w:pStyle w:val="BodyText"/>
      </w:pPr>
      <w:r>
        <w:rPr>
          <w:bCs/>
          <w:b/>
        </w:rPr>
        <w:t xml:space="preserve">Necessity.</w:t>
      </w:r>
      <w:r>
        <w:t xml:space="preserve"> </w:t>
      </w:r>
      <w:r>
        <w:t xml:space="preserve">Digital traceability was necessary for high readiness (consistency = 0.907; RoN = 0.659), so P2 is not supported: certified firms also needed their own systems. Every firm with low readiness lacked supplier data sharing (consistency of ~MDS = 0.921).</w:t>
      </w:r>
    </w:p>
    <w:p>
      <w:pPr>
        <w:pStyle w:val="BodyText"/>
      </w:pPr>
      <w:r>
        <w:rPr>
          <w:bCs/>
          <w:b/>
        </w:rPr>
        <w:t xml:space="preserve">Sufficiency for high readiness.</w:t>
      </w:r>
      <w:r>
        <w:t xml:space="preserve"> </w:t>
      </w:r>
      <w:r>
        <w:t xml:space="preserve">Three configurations were sufficient (Table 2; solution consistency = 0.922, coverage = 0.845). The parsimonious solution reveals two core mechanisms:</w:t>
      </w:r>
      <w:r>
        <w:t xml:space="preserve"> </w:t>
      </w:r>
      <w:r>
        <w:rPr>
          <w:iCs/>
          <w:i/>
        </w:rPr>
        <w:t xml:space="preserve">trusted capture</w:t>
      </w:r>
      <w:r>
        <w:t xml:space="preserve"> </w:t>
      </w:r>
      <w:r>
        <w:t xml:space="preserve">(digital traceability without appropriation concern; H1) and</w:t>
      </w:r>
      <w:r>
        <w:t xml:space="preserve"> </w:t>
      </w:r>
      <w:r>
        <w:rPr>
          <w:iCs/>
          <w:i/>
        </w:rPr>
        <w:t xml:space="preserve">borrowed data</w:t>
      </w:r>
      <w:r>
        <w:t xml:space="preserve"> </w:t>
      </w:r>
      <w:r>
        <w:t xml:space="preserve">(certification coverage; H2, H3). H1 covered integrated firms and networked SMEs alike (raw coverage = 0.781). Vertical integration and multi-tier sharing appeared only as peripheral conditions, alongside certification. P1 is partly supported. Owned, negotiated and borrowed access all lead to readiness, but ownership and negotiation work through the same mechanism: removing the fear that data will be misused.</w:t>
      </w:r>
    </w:p>
    <w:p>
      <w:pPr>
        <w:pStyle w:val="BodyText"/>
      </w:pPr>
      <w:r>
        <w:rPr>
          <w:bCs/>
          <w:b/>
        </w:rPr>
        <w:t xml:space="preserve">Sufficiency for low readiness.</w:t>
      </w:r>
      <w:r>
        <w:t xml:space="preserve"> </w:t>
      </w:r>
      <w:r>
        <w:t xml:space="preserve">Two configurations explained low readiness (consistency = 0.919, coverage = 0.837). L1 combines missing traceability with no certification. L2 combines appropriation concern with neither integration nor certification, supporting P3.</w:t>
      </w:r>
    </w:p>
    <w:p>
      <w:pPr>
        <w:pStyle w:val="BodyText"/>
      </w:pPr>
      <w:r>
        <w:rPr>
          <w:bCs/>
          <w:b/>
        </w:rPr>
        <w:t xml:space="preserve">Readiness and circularity.</w:t>
      </w:r>
      <w:r>
        <w:t xml:space="preserve"> </w:t>
      </w:r>
      <w:r>
        <w:t xml:space="preserve">Readiness alone was not sufficient for circular capability (consistency = 0.752), and still less for formal circular practice (0.496). Formal circularity appeared only where integration and certification coincided, in two Panipat recyclers (VI•~MDS•CERT). Informal practices, such as selling cutting waste or reselling surplus, appeared in every simulated firm, partly by construction. P4 is supported.</w:t>
      </w:r>
    </w:p>
    <w:p>
      <w:pPr>
        <w:pStyle w:val="BodyText"/>
      </w:pPr>
      <w:r>
        <w:rPr>
          <w:bCs/>
          <w:b/>
        </w:rPr>
        <w:t xml:space="preserve">Robustness.</w:t>
      </w:r>
      <w:r>
        <w:t xml:space="preserve"> </w:t>
      </w:r>
      <w:r>
        <w:t xml:space="preserve">The two mechanisms survived changes to anchors, thresholds and sample (Online Appendix B). With a frequency threshold of two, the single-case integration-plus-certification row dropped out. Adding buyer pressure as a sixth condition left the solution unchanged apart from adding pressure to each configuration: it accompanies every route but explains none.</w:t>
      </w:r>
    </w:p>
    <w:p>
      <w:pPr>
        <w:pStyle w:val="BodyText"/>
      </w:pPr>
      <w:r>
        <w:rPr>
          <w:bCs/>
          <w:b/>
        </w:rPr>
        <w:t xml:space="preserve">Case illustration.</w:t>
      </w:r>
      <w:r>
        <w:t xml:space="preserve"> </w:t>
      </w:r>
      <w:r>
        <w:t xml:space="preserve">A networked knitter explained that its dyehouses</w:t>
      </w:r>
      <w:r>
        <w:t xml:space="preserve"> </w:t>
      </w:r>
      <w:r>
        <w:t xml:space="preserve">“</w:t>
      </w:r>
      <w:r>
        <w:t xml:space="preserve">gave everything</w:t>
      </w:r>
      <w:r>
        <w:t xml:space="preserve">”</w:t>
      </w:r>
      <w:r>
        <w:t xml:space="preserve"> </w:t>
      </w:r>
      <w:r>
        <w:t xml:space="preserve">once</w:t>
      </w:r>
      <w:r>
        <w:t xml:space="preserve"> </w:t>
      </w:r>
      <w:r>
        <w:t xml:space="preserve">“</w:t>
      </w:r>
      <w:r>
        <w:t xml:space="preserve">the buyer agreed not to contact our dyehouse directly</w:t>
      </w:r>
      <w:r>
        <w:t xml:space="preserve">”</w:t>
      </w:r>
      <w:r>
        <w:t xml:space="preserve">. A subcontractor-dependent NCR exporter gave</w:t>
      </w:r>
      <w:r>
        <w:t xml:space="preserve"> </w:t>
      </w:r>
      <w:r>
        <w:t xml:space="preserve">“</w:t>
      </w:r>
      <w:r>
        <w:t xml:space="preserve">partial information only</w:t>
      </w:r>
      <w:r>
        <w:t xml:space="preserve">”</w:t>
      </w:r>
      <w:r>
        <w:t xml:space="preserve"> </w:t>
      </w:r>
      <w:r>
        <w:t xml:space="preserve">because</w:t>
      </w:r>
      <w:r>
        <w:t xml:space="preserve"> </w:t>
      </w:r>
      <w:r>
        <w:t xml:space="preserve">“</w:t>
      </w:r>
      <w:r>
        <w:t xml:space="preserve">the buyer will go direct next season</w:t>
      </w:r>
      <w:r>
        <w:t xml:space="preserve">”</w:t>
      </w:r>
      <w:r>
        <w:t xml:space="preserve">. A Panipat recycler noted that</w:t>
      </w:r>
      <w:r>
        <w:t xml:space="preserve"> </w:t>
      </w:r>
      <w:r>
        <w:t xml:space="preserve">“</w:t>
      </w:r>
      <w:r>
        <w:t xml:space="preserve">GRS needs transaction certificates at every step, so recycled content and origin are already documented</w:t>
      </w:r>
      <w:r>
        <w:t xml:space="preserve">”</w:t>
      </w:r>
      <w:r>
        <w:t xml:space="preserve">.</w:t>
      </w:r>
      <w:r>
        <w:t xml:space="preserve"> </w:t>
      </w:r>
      <w:r>
        <w:rPr>
          <w:iCs/>
          <w:i/>
        </w:rPr>
        <w:t xml:space="preserve">(Quotes are from simulated case notes.)</w:t>
      </w:r>
    </w:p>
    <w:p>
      <w:pPr>
        <w:pStyle w:val="BodyText"/>
      </w:pPr>
      <w:r>
        <w:rPr>
          <w:bCs/>
          <w:b/>
        </w:rPr>
        <w:t xml:space="preserve">Table 2.</w:t>
      </w:r>
      <w:r>
        <w:t xml:space="preserve"> </w:t>
      </w:r>
      <w:r>
        <w:t xml:space="preserve">Configurations for high and low DPP readiness (SIMULATED). ● = core present; • = peripheral present; ⊗ = core absent; ⊘ = peripheral absent; blank = does not matter.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H1 Trusted capture</w:t>
            </w:r>
          </w:p>
        </w:tc>
        <w:tc>
          <w:tcPr/>
          <w:p>
            <w:pPr>
              <w:pStyle w:val="Compact"/>
              <w:jc w:val="left"/>
            </w:pPr>
            <w:r>
              <w:t xml:space="preserve">H2 Borrowed + negotiated</w:t>
            </w:r>
          </w:p>
        </w:tc>
        <w:tc>
          <w:tcPr/>
          <w:p>
            <w:pPr>
              <w:pStyle w:val="Compact"/>
              <w:jc w:val="left"/>
            </w:pPr>
            <w:r>
              <w:t xml:space="preserve">H3 Borrowed + owned</w:t>
            </w:r>
          </w:p>
        </w:tc>
        <w:tc>
          <w:tcPr/>
          <w:p>
            <w:pPr>
              <w:pStyle w:val="Compact"/>
              <w:jc w:val="left"/>
            </w:pPr>
            <w:r>
              <w:t xml:space="preserve">L1 No capture, no certificates</w:t>
            </w:r>
          </w:p>
        </w:tc>
        <w:tc>
          <w:tcPr/>
          <w:p>
            <w:pPr>
              <w:pStyle w:val="Compact"/>
              <w:jc w:val="left"/>
            </w:pPr>
            <w:r>
              <w:t xml:space="preserve">L2 Suspicious and unsupported</w:t>
            </w:r>
          </w:p>
        </w:tc>
      </w:tr>
      <w:tr>
        <w:tc>
          <w:tcPr/>
          <w:p>
            <w:pPr>
              <w:pStyle w:val="Compact"/>
              <w:jc w:val="left"/>
            </w:pPr>
            <w:r>
              <w:t xml:space="preserve">Vertical integration</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Digital traceability</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Multi-tier data sharing</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Chain-of-custody certification</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Data-appropriation concern</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Consistency</w:t>
            </w:r>
          </w:p>
        </w:tc>
        <w:tc>
          <w:tcPr/>
          <w:p>
            <w:pPr>
              <w:pStyle w:val="Compact"/>
              <w:jc w:val="left"/>
            </w:pPr>
            <w:r>
              <w:t xml:space="preserve">0.930</w:t>
            </w:r>
          </w:p>
        </w:tc>
        <w:tc>
          <w:tcPr/>
          <w:p>
            <w:pPr>
              <w:pStyle w:val="Compact"/>
              <w:jc w:val="left"/>
            </w:pPr>
            <w:r>
              <w:t xml:space="preserve">0.999</w:t>
            </w:r>
          </w:p>
        </w:tc>
        <w:tc>
          <w:tcPr/>
          <w:p>
            <w:pPr>
              <w:pStyle w:val="Compact"/>
              <w:jc w:val="left"/>
            </w:pPr>
            <w:r>
              <w:t xml:space="preserve">0.970</w:t>
            </w:r>
          </w:p>
        </w:tc>
        <w:tc>
          <w:tcPr/>
          <w:p>
            <w:pPr>
              <w:pStyle w:val="Compact"/>
              <w:jc w:val="left"/>
            </w:pPr>
            <w:r>
              <w:t xml:space="preserve">0.970</w:t>
            </w:r>
          </w:p>
        </w:tc>
        <w:tc>
          <w:tcPr/>
          <w:p>
            <w:pPr>
              <w:pStyle w:val="Compact"/>
              <w:jc w:val="left"/>
            </w:pPr>
            <w:r>
              <w:t xml:space="preserve">0.912</w:t>
            </w:r>
          </w:p>
        </w:tc>
      </w:tr>
      <w:tr>
        <w:tc>
          <w:tcPr/>
          <w:p>
            <w:pPr>
              <w:pStyle w:val="Compact"/>
              <w:jc w:val="left"/>
            </w:pPr>
            <w:r>
              <w:t xml:space="preserve">Raw coverage</w:t>
            </w:r>
          </w:p>
        </w:tc>
        <w:tc>
          <w:tcPr/>
          <w:p>
            <w:pPr>
              <w:pStyle w:val="Compact"/>
              <w:jc w:val="left"/>
            </w:pPr>
            <w:r>
              <w:t xml:space="preserve">0.781</w:t>
            </w:r>
          </w:p>
        </w:tc>
        <w:tc>
          <w:tcPr/>
          <w:p>
            <w:pPr>
              <w:pStyle w:val="Compact"/>
              <w:jc w:val="left"/>
            </w:pPr>
            <w:r>
              <w:t xml:space="preserve">0.424</w:t>
            </w:r>
          </w:p>
        </w:tc>
        <w:tc>
          <w:tcPr/>
          <w:p>
            <w:pPr>
              <w:pStyle w:val="Compact"/>
              <w:jc w:val="left"/>
            </w:pPr>
            <w:r>
              <w:t xml:space="preserve">0.387</w:t>
            </w:r>
          </w:p>
        </w:tc>
        <w:tc>
          <w:tcPr/>
          <w:p>
            <w:pPr>
              <w:pStyle w:val="Compact"/>
              <w:jc w:val="left"/>
            </w:pPr>
            <w:r>
              <w:t xml:space="preserve">0.558</w:t>
            </w:r>
          </w:p>
        </w:tc>
        <w:tc>
          <w:tcPr/>
          <w:p>
            <w:pPr>
              <w:pStyle w:val="Compact"/>
              <w:jc w:val="left"/>
            </w:pPr>
            <w:r>
              <w:t xml:space="preserve">0.691</w:t>
            </w:r>
          </w:p>
        </w:tc>
      </w:tr>
      <w:tr>
        <w:tc>
          <w:tcPr/>
          <w:p>
            <w:pPr>
              <w:pStyle w:val="Compact"/>
              <w:jc w:val="left"/>
            </w:pPr>
            <w:r>
              <w:t xml:space="preserve">Unique coverage</w:t>
            </w:r>
          </w:p>
        </w:tc>
        <w:tc>
          <w:tcPr/>
          <w:p>
            <w:pPr>
              <w:pStyle w:val="Compact"/>
              <w:jc w:val="left"/>
            </w:pPr>
            <w:r>
              <w:t xml:space="preserve">0.341</w:t>
            </w:r>
          </w:p>
        </w:tc>
        <w:tc>
          <w:tcPr/>
          <w:p>
            <w:pPr>
              <w:pStyle w:val="Compact"/>
              <w:jc w:val="left"/>
            </w:pPr>
            <w:r>
              <w:t xml:space="preserve">0.023</w:t>
            </w:r>
          </w:p>
        </w:tc>
        <w:tc>
          <w:tcPr/>
          <w:p>
            <w:pPr>
              <w:pStyle w:val="Compact"/>
              <w:jc w:val="left"/>
            </w:pPr>
            <w:r>
              <w:t xml:space="preserve">0.038</w:t>
            </w:r>
          </w:p>
        </w:tc>
        <w:tc>
          <w:tcPr/>
          <w:p>
            <w:pPr>
              <w:pStyle w:val="Compact"/>
              <w:jc w:val="left"/>
            </w:pPr>
            <w:r>
              <w:t xml:space="preserve">0.146</w:t>
            </w:r>
          </w:p>
        </w:tc>
        <w:tc>
          <w:tcPr/>
          <w:p>
            <w:pPr>
              <w:pStyle w:val="Compact"/>
              <w:jc w:val="left"/>
            </w:pPr>
            <w:r>
              <w:t xml:space="preserve">0.279</w:t>
            </w:r>
          </w:p>
        </w:tc>
      </w:tr>
      <w:tr>
        <w:tc>
          <w:tcPr/>
          <w:p>
            <w:pPr>
              <w:pStyle w:val="Compact"/>
              <w:jc w:val="left"/>
            </w:pPr>
            <w:r>
              <w:t xml:space="preserve">Solution consistency / coverage</w:t>
            </w:r>
          </w:p>
        </w:tc>
        <w:tc>
          <w:tcPr/>
          <w:p>
            <w:pPr>
              <w:pStyle w:val="Compact"/>
              <w:jc w:val="left"/>
            </w:pPr>
            <w:r>
              <w:t xml:space="preserve">0.922 / 0.845</w:t>
            </w:r>
          </w:p>
        </w:tc>
        <w:tc>
          <w:tcPr/>
          <w:p>
            <w:pPr>
              <w:pStyle w:val="Compact"/>
            </w:pPr>
          </w:p>
        </w:tc>
        <w:tc>
          <w:tcPr/>
          <w:p>
            <w:pPr>
              <w:pStyle w:val="Compact"/>
            </w:pPr>
          </w:p>
        </w:tc>
        <w:tc>
          <w:tcPr/>
          <w:p>
            <w:pPr>
              <w:pStyle w:val="Compact"/>
              <w:jc w:val="left"/>
            </w:pPr>
            <w:r>
              <w:t xml:space="preserve">0.919 / 0.837</w:t>
            </w:r>
          </w:p>
        </w:tc>
        <w:tc>
          <w:tcPr/>
          <w:p>
            <w:pPr>
              <w:pStyle w:val="Compact"/>
            </w:pPr>
          </w:p>
        </w:tc>
      </w:tr>
    </w:tbl>
    <w:bookmarkEnd w:id="33"/>
    <w:bookmarkStart w:id="37" w:name="discussion-trusted-or-borrowed"/>
    <w:p>
      <w:pPr>
        <w:pStyle w:val="Heading1"/>
      </w:pPr>
      <w:r>
        <w:t xml:space="preserve">Discussion: Trusted or Borrowed</w:t>
      </w:r>
    </w:p>
    <w:p>
      <w:pPr>
        <w:pStyle w:val="FirstParagraph"/>
      </w:pPr>
      <w:r>
        <w:t xml:space="preserve">From the supplier side the DPP looks chaotic: almost every exporter faces the same pressure, yet similar-looking firms end up on opposite sides of the readiness line. Our configurations make sense of this through three ideas.</w:t>
      </w:r>
    </w:p>
    <w:p>
      <w:pPr>
        <w:pStyle w:val="BodyText"/>
      </w:pPr>
      <w:r>
        <w:rPr>
          <w:bCs/>
          <w:b/>
        </w:rPr>
        <w:t xml:space="preserve">First, readiness depends on trusted or borrowed access to data, not on structure.</w:t>
      </w:r>
      <w:r>
        <w:t xml:space="preserve"> </w:t>
      </w:r>
      <w:r>
        <w:t xml:space="preserve">We expected ownership, negotiation and borrowing to form three routes. The data point to two mechanisms. In</w:t>
      </w:r>
      <w:r>
        <w:t xml:space="preserve"> </w:t>
      </w:r>
      <w:r>
        <w:rPr>
          <w:iCs/>
          <w:i/>
        </w:rPr>
        <w:t xml:space="preserve">trusted capture</w:t>
      </w:r>
      <w:r>
        <w:t xml:space="preserve">, a firm digitises data it can reach without fearing misuse. Ownership achieves this trivially, since a firm does not fear its own data, while negotiation achieves it only where appropriation concern is low. In</w:t>
      </w:r>
      <w:r>
        <w:t xml:space="preserve"> </w:t>
      </w:r>
      <w:r>
        <w:rPr>
          <w:iCs/>
          <w:i/>
        </w:rPr>
        <w:t xml:space="preserve">borrowed capacity</w:t>
      </w:r>
      <w:r>
        <w:t xml:space="preserve">, certification schemes supply documented chain data that the firm did not have to collect. This refines Galbraith (1974). Lateral capacity is conditional on appropriation safety, and capacity can be held in institutional infrastructure outside the firm. Borrowed data still had to be captured in-house, however: digital traceability remained necessary.</w:t>
      </w:r>
    </w:p>
    <w:p>
      <w:pPr>
        <w:pStyle w:val="BodyText"/>
      </w:pPr>
      <w:r>
        <w:rPr>
          <w:bCs/>
          <w:b/>
        </w:rPr>
        <w:t xml:space="preserve">Second, when pressure is everywhere, it explains nothing.</w:t>
      </w:r>
      <w:r>
        <w:t xml:space="preserve"> </w:t>
      </w:r>
      <w:r>
        <w:t xml:space="preserve">Buyer pressure accompanied every configuration, successful or not. What separated success from failure was appropriation concern and the absence of any data source. This moves the focus of supply chain transparency research (Sodhi &amp; Tang, 2019) from how much brands ask to how suppliers expect the data to be used (Fawcett et al., 2007).</w:t>
      </w:r>
    </w:p>
    <w:p>
      <w:pPr>
        <w:pStyle w:val="BodyText"/>
      </w:pPr>
      <w:r>
        <w:rPr>
          <w:bCs/>
          <w:b/>
        </w:rPr>
        <w:t xml:space="preserve">Third, there are two circularities, and the passport sees only one.</w:t>
      </w:r>
      <w:r>
        <w:t xml:space="preserve"> </w:t>
      </w:r>
      <w:r>
        <w:t xml:space="preserve">Indian clusters run an informal circular economy driven by cost rather than data: cutting waste flows from Tiruppur to Panipat, and surplus is resold domestically. Formal circularity was decoupled from readiness (Meyer &amp; Rowan, 1977) and appeared only in integrated, certified recyclers. A passport designed for brand-led loops may leave existing informal loops invisible while creating few new ones.</w:t>
      </w:r>
    </w:p>
    <w:bookmarkStart w:id="34"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Trust first, then technology.</w:t>
      </w:r>
      <w:r>
        <w:t xml:space="preserve"> </w:t>
      </w:r>
      <w:r>
        <w:t xml:space="preserve">Firms with software but fearful or unwilling suppliers stayed below the readiness line.</w:t>
      </w:r>
    </w:p>
    <w:p>
      <w:pPr>
        <w:numPr>
          <w:ilvl w:val="0"/>
          <w:numId w:val="1001"/>
        </w:numPr>
        <w:pStyle w:val="Compact"/>
      </w:pPr>
      <w:r>
        <w:rPr>
          <w:bCs/>
          <w:b/>
        </w:rPr>
        <w:t xml:space="preserve">Brands: limit data use and say so.</w:t>
      </w:r>
      <w:r>
        <w:t xml:space="preserve"> </w:t>
      </w:r>
      <w:r>
        <w:t xml:space="preserve">Written assurance that supplier data will not be used to bypass or squeeze suppliers turns negotiation into a working route.</w:t>
      </w:r>
    </w:p>
    <w:p>
      <w:pPr>
        <w:numPr>
          <w:ilvl w:val="0"/>
          <w:numId w:val="1001"/>
        </w:numPr>
        <w:pStyle w:val="Compact"/>
      </w:pPr>
      <w:r>
        <w:rPr>
          <w:bCs/>
          <w:b/>
        </w:rPr>
        <w:t xml:space="preserve">Treat certificates as data assets.</w:t>
      </w:r>
      <w:r>
        <w:t xml:space="preserve"> </w:t>
      </w:r>
      <w:r>
        <w:t xml:space="preserve">Transaction certificates already hold much of what the passport needs, but they must still be captured digitally.</w:t>
      </w:r>
    </w:p>
    <w:p>
      <w:pPr>
        <w:numPr>
          <w:ilvl w:val="0"/>
          <w:numId w:val="1001"/>
        </w:numPr>
        <w:pStyle w:val="Compact"/>
      </w:pPr>
      <w:r>
        <w:rPr>
          <w:bCs/>
          <w:b/>
        </w:rPr>
        <w:t xml:space="preserve">Don’t confuse readiness with circularity.</w:t>
      </w:r>
      <w:r>
        <w:t xml:space="preserve"> </w:t>
      </w:r>
      <w:r>
        <w:t xml:space="preserve">Passport data did not create recycled inputs or take-back on their own.</w:t>
      </w:r>
    </w:p>
    <w:bookmarkEnd w:id="34"/>
    <w:bookmarkStart w:id="35" w:name="policy-implications"/>
    <w:p>
      <w:pPr>
        <w:pStyle w:val="Heading2"/>
      </w:pPr>
      <w:r>
        <w:t xml:space="preserve">Policy Implications</w:t>
      </w:r>
    </w:p>
    <w:p>
      <w:pPr>
        <w:pStyle w:val="FirstParagraph"/>
      </w:pPr>
      <w:r>
        <w:t xml:space="preserve">The passport’s technical design should recognise certification data, so that suppliers do not collect it twice. Cluster associations in Tiruppur, Ludhiana and Panipat could run shared platforms that extend trusted capture to small firms. Enforceable data-use safeguards, in the passport’s access rights or the EU–India agreement, would reduce the appropriation concern behind most failures. And the passport should record recycled content from informal waste flows, not only from brand-run take-back.</w:t>
      </w:r>
    </w:p>
    <w:bookmarkEnd w:id="35"/>
    <w:bookmarkStart w:id="36" w:name="limitations-and-future-research"/>
    <w:p>
      <w:pPr>
        <w:pStyle w:val="Heading2"/>
      </w:pPr>
      <w:r>
        <w:t xml:space="preserve">Limitations and Future Research</w:t>
      </w:r>
    </w:p>
    <w:p>
      <w:pPr>
        <w:pStyle w:val="FirstParagraph"/>
      </w:pPr>
      <w:r>
        <w:t xml:space="preserve">fsQCA identifies set relations, not net effects, and our purposive sample of 50 firms supports analytical rather than statistical generalisation. Future research should test the two mechanisms with larger samples once the passport is mandatory, and in Bangladesh, Vietnam and Türkiye.</w:t>
      </w:r>
    </w:p>
    <w:bookmarkEnd w:id="36"/>
    <w:bookmarkEnd w:id="37"/>
    <w:bookmarkStart w:id="38" w:name="conclusion"/>
    <w:p>
      <w:pPr>
        <w:pStyle w:val="Heading1"/>
      </w:pPr>
      <w:r>
        <w:t xml:space="preserve">Conclusion</w:t>
      </w:r>
    </w:p>
    <w:p>
      <w:pPr>
        <w:pStyle w:val="FirstParagraph"/>
      </w:pPr>
      <w:r>
        <w:t xml:space="preserve">The Digital Product Passport is a supply chain design decision disguised as a compliance requirement. Suppliers become passport-ready when they can capture data without fearing its misuse, or when they can borrow it from certification, not because buyers push harder. If the passport is to serve circularity and not only compliance, brands and policymakers must build trust, recognise existing certification infrastructure, and see the circular economy that Indian clusters already run.</w:t>
      </w:r>
    </w:p>
    <w:bookmarkEnd w:id="38"/>
    <w:bookmarkStart w:id="39"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Dusa, A. (2019).</w:t>
      </w:r>
      <w:r>
        <w:t xml:space="preserve"> </w:t>
      </w:r>
      <w:r>
        <w:rPr>
          <w:iCs/>
          <w:i/>
        </w:rPr>
        <w:t xml:space="preserve">QCA with R: A comprehensive resource</w:t>
      </w:r>
      <w:r>
        <w:t xml:space="preserve">. Springer.</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Fiss, P. C. (2011). Building better causal theories: A fuzzy set approach to typologies in organization research.</w:t>
      </w:r>
      <w:r>
        <w:t xml:space="preserve"> </w:t>
      </w:r>
      <w:r>
        <w:rPr>
          <w:iCs/>
          <w:i/>
        </w:rPr>
        <w:t xml:space="preserve">Academy of Management Journal, 54</w:t>
      </w:r>
      <w:r>
        <w:t xml:space="preserve">(2), 393–420.</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Greckhamer, T., Furnari, S., Fiss, P. C., &amp; Aguilera, R. V. (2018). Studying configurations with qualitative comparative analysis: Best practices in strategy and organization research.</w:t>
      </w:r>
      <w:r>
        <w:t xml:space="preserve"> </w:t>
      </w:r>
      <w:r>
        <w:rPr>
          <w:iCs/>
          <w:i/>
        </w:rPr>
        <w:t xml:space="preserve">Strategic Organization, 16</w:t>
      </w:r>
      <w:r>
        <w:t xml:space="preserve">(4), 482–495.</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Misangyi, V. F., Greckhamer, T., Furnari, S., Fiss, P. C., Crilly, D., &amp; Aguilera, R. (2017). Embracing causal complexity: The emergence of a neo-configurational perspective.</w:t>
      </w:r>
      <w:r>
        <w:t xml:space="preserve"> </w:t>
      </w:r>
      <w:r>
        <w:rPr>
          <w:iCs/>
          <w:i/>
        </w:rPr>
        <w:t xml:space="preserve">Journal of Management, 43</w:t>
      </w:r>
      <w:r>
        <w:t xml:space="preserve">(1), 255–282.</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Ragin, C. C. (2008).</w:t>
      </w:r>
      <w:r>
        <w:t xml:space="preserve"> </w:t>
      </w:r>
      <w:r>
        <w:rPr>
          <w:iCs/>
          <w:i/>
        </w:rPr>
        <w:t xml:space="preserve">Redesigning social inquiry: Fuzzy sets and beyond</w:t>
      </w:r>
      <w:r>
        <w:t xml:space="preserve">. University of Chicago Press.</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Schneider, C. Q., &amp; Wagemann, C. (2012).</w:t>
      </w:r>
      <w:r>
        <w:t xml:space="preserve"> </w:t>
      </w:r>
      <w:r>
        <w:rPr>
          <w:iCs/>
          <w:i/>
        </w:rPr>
        <w:t xml:space="preserve">Set-theoretic methods for the social sciences: A guide to qualitative comparative analysis</w:t>
      </w:r>
      <w:r>
        <w:t xml:space="preserve">. Cambridge University Press.</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[ILLUSTRATIVE – SIMULATED DATA – NOT FOR SUBMISSION] Who Carries the Passport? Owned, Negotiated or Borrowed Routes to Digital Product Passport Readiness in Indian Apparel Exports</dc:title>
  <dc:creator/>
  <cp:keywords/>
  <dcterms:created xsi:type="dcterms:W3CDTF">2026-10-25T19:51:03Z</dcterms:created>
  <dcterms:modified xsi:type="dcterms:W3CDTF">2026-10-25T19:51:03Z</dcterms:modified>
</cp:coreProperties>
</file>

<file path=docProps/custom.xml><?xml version="1.0" encoding="utf-8"?>
<Properties xmlns="http://schemas.openxmlformats.org/officeDocument/2006/custom-properties" xmlns:vt="http://schemas.openxmlformats.org/officeDocument/2006/docPropsVTypes"/>
</file>