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interviews Dec 2026 – Feb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2,926 + references 896 =</w:t>
            </w:r>
            <w:r>
              <w:t xml:space="preserve"> </w:t>
            </w:r>
            <w:r>
              <w:rPr>
                <w:bCs/>
                <w:b/>
              </w:rPr>
              <w:t xml:space="preserve">3,822</w:t>
            </w:r>
            <w:r>
              <w:t xml:space="preserve"> </w:t>
            </w:r>
            <w:r>
              <w:t xml:space="preserve">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calibration anchors, the fsQCA protocol, robustness checks and the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read configurationally (equifinal routes) plus institutional decoupling (P4); fsQCA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(P4);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vs. networked routes;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2026–27 interview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2026-10-25T19:51:03Z</dcterms:created>
  <dcterms:modified xsi:type="dcterms:W3CDTF">2026-10-25T19:51:03Z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