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owning the upstream stages, building digital traceability, or persuading independent sub-suppliers to share data. We argue too that buyer pressure works only when suppliers do not fear that their data will be used against them. Using fuzzy-set qualitative comparative analysis (fsQCA) of [N] Indian textile and apparel exporters surveyed between December 2026 and February 2027, we identify [number] configurations sufficient for high passport readiness and [number] for its absence. We also test whether readiness is sufficient for circular supply chain capability. [Summary of findings.] The results give suppliers alternative routes to readiness, show brands that data-use safeguards matter, and show policymakers where shared infrastructure could close the</w:t>
      </w:r>
      <w:r>
        <w:t xml:space="preserve"> </w:t>
      </w:r>
      <w:r>
        <w:t xml:space="preserve">“</w:t>
      </w:r>
      <w:r>
        <w:t xml:space="preserve">passport gap</w:t>
      </w:r>
      <w:r>
        <w:t xml:space="preserve">”</w:t>
      </w:r>
      <w:r>
        <w:t xml:space="preserve"> </w:t>
      </w:r>
      <w:r>
        <w:t xml:space="preserve">for small suppliers.</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[N] firms ([details of the sample]).</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both for all circular practices and for</w:t>
      </w:r>
      <w:r>
        <w:t xml:space="preserve"> </w:t>
      </w:r>
      <w:r>
        <w:rPr>
          <w:iCs/>
          <w:i/>
        </w:rPr>
        <w:t xml:space="preserve">formal</w:t>
      </w:r>
      <w:r>
        <w:t xml:space="preserve"> </w:t>
      </w:r>
      <w:r>
        <w:t xml:space="preserve">practices only (recycled inputs, design-for-recycling, take-back), because informal practices such as selling cutting waste need no product data.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rPr>
          <w:iCs/>
          <w:i/>
        </w:rPr>
        <w:t xml:space="preserve">[To be completed with the 2026–27 data. The sentences below are templates.]</w:t>
      </w:r>
    </w:p>
    <w:p>
      <w:pPr>
        <w:pStyle w:val="BodyText"/>
      </w:pPr>
      <w:r>
        <w:rPr>
          <w:bCs/>
          <w:b/>
        </w:rPr>
        <w:t xml:space="preserve">Necessity.</w:t>
      </w:r>
      <w:r>
        <w:t xml:space="preserve"> </w:t>
      </w:r>
      <w:r>
        <w:t xml:space="preserve">Digital traceability [passed / did not pass] the necessity test for high readiness (consistency = [ ], coverage = [ ]), [supporting / not supporting] P2. No other condition was necessary.</w:t>
      </w:r>
    </w:p>
    <w:p>
      <w:pPr>
        <w:pStyle w:val="BodyText"/>
      </w:pPr>
      <w:r>
        <w:rPr>
          <w:bCs/>
          <w:b/>
        </w:rPr>
        <w:t xml:space="preserve">Sufficiency for high readiness.</w:t>
      </w:r>
      <w:r>
        <w:t xml:space="preserve"> </w:t>
      </w:r>
      <w:r>
        <w:t xml:space="preserve">The analysis yielded [number] configurations (Table 2), with solution consistency of [ ] and coverage of [ ]. Configuration 1 ([description]) matches the</w:t>
      </w:r>
      <w:r>
        <w:t xml:space="preserve"> </w:t>
      </w:r>
      <w:r>
        <w:rPr>
          <w:iCs/>
          <w:i/>
        </w:rPr>
        <w:t xml:space="preserve">integrated</w:t>
      </w:r>
      <w:r>
        <w:t xml:space="preserve"> </w:t>
      </w:r>
      <w:r>
        <w:t xml:space="preserve">route, and configuration 2 ([description]) the</w:t>
      </w:r>
      <w:r>
        <w:t xml:space="preserve"> </w:t>
      </w:r>
      <w:r>
        <w:rPr>
          <w:iCs/>
          <w:i/>
        </w:rPr>
        <w:t xml:space="preserve">networked</w:t>
      </w:r>
      <w:r>
        <w:t xml:space="preserve"> </w:t>
      </w:r>
      <w:r>
        <w:t xml:space="preserve">route, [supporting / partly supporting] P1. In configuration 2, the absence of data-appropriation concern is a [core / peripheral] condition. A typical case is [firm description and short quote].</w:t>
      </w:r>
    </w:p>
    <w:p>
      <w:pPr>
        <w:pStyle w:val="BodyText"/>
      </w:pPr>
      <w:r>
        <w:rPr>
          <w:bCs/>
          <w:b/>
        </w:rPr>
        <w:t xml:space="preserve">Sufficiency for low readiness.</w:t>
      </w:r>
      <w:r>
        <w:t xml:space="preserve"> </w:t>
      </w:r>
      <w:r>
        <w:t xml:space="preserve">[number] configurations led to low readiness (consistency = [ ], coverage = [ ]). The combination of buyer pressure, data-appropriation concern and low integration [appeared / did not appear], [supporting / not supporting] P3.</w:t>
      </w:r>
    </w:p>
    <w:p>
      <w:pPr>
        <w:pStyle w:val="BodyText"/>
      </w:pPr>
      <w:r>
        <w:rPr>
          <w:bCs/>
          <w:b/>
        </w:rPr>
        <w:t xml:space="preserve">Readiness and circularity.</w:t>
      </w:r>
      <w:r>
        <w:t xml:space="preserve"> </w:t>
      </w:r>
      <w:r>
        <w:t xml:space="preserve">Readiness was [not] sufficient on its own for high circular capability (consistency = [ ]). Circular capability arose only when readiness combined with [conditions], [supporting / not supporting] P4. Results were robust to [list of robustness checks].</w:t>
      </w:r>
    </w:p>
    <w:p>
      <w:pPr>
        <w:pStyle w:val="BodyText"/>
      </w:pPr>
      <w:r>
        <w:rPr>
          <w:bCs/>
          <w:b/>
        </w:rPr>
        <w:t xml:space="preserve">Case illustration.</w:t>
      </w:r>
      <w:r>
        <w:t xml:space="preserve"> </w:t>
      </w:r>
      <w:r>
        <w:t xml:space="preserve">[Two short case vignettes, one per high-readiness route.] For example, [Firm A, a vertically integrated exporter in (cluster)] reached readiness through ownership, while [Firm B, a small knitter] relied on long-standing relationships with two dyehouses that shared chemical and origin data once the buyer agreed to limit how the data would be used. [Firm C] shows the low-readiness pattern: [description].</w:t>
      </w:r>
    </w:p>
    <w:p>
      <w:pPr>
        <w:pStyle w:val="BodyText"/>
      </w:pPr>
      <w:r>
        <w:rPr>
          <w:bCs/>
          <w:b/>
        </w:rPr>
        <w:t xml:space="preserve">Table 2.</w:t>
      </w:r>
      <w:r>
        <w:t xml:space="preserve"> </w:t>
      </w:r>
      <w:r>
        <w:t xml:space="preserve">Configurations for high and low DPP readiness. ● = core condition present; • = peripheral condition present; ⊗ = condition absent (core ⊗, peripheral ⊗ smaller); blank = does not matter.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High 1</w:t>
            </w:r>
          </w:p>
        </w:tc>
        <w:tc>
          <w:tcPr/>
          <w:p>
            <w:pPr>
              <w:pStyle w:val="Compact"/>
              <w:jc w:val="left"/>
            </w:pPr>
            <w:r>
              <w:t xml:space="preserve">High 2</w:t>
            </w:r>
          </w:p>
        </w:tc>
        <w:tc>
          <w:tcPr/>
          <w:p>
            <w:pPr>
              <w:pStyle w:val="Compact"/>
              <w:jc w:val="left"/>
            </w:pPr>
            <w:r>
              <w:t xml:space="preserve">High 3</w:t>
            </w:r>
          </w:p>
        </w:tc>
        <w:tc>
          <w:tcPr/>
          <w:p>
            <w:pPr>
              <w:pStyle w:val="Compact"/>
              <w:jc w:val="left"/>
            </w:pPr>
            <w:r>
              <w:t xml:space="preserve">Low 1</w:t>
            </w:r>
          </w:p>
        </w:tc>
        <w:tc>
          <w:tcPr/>
          <w:p>
            <w:pPr>
              <w:pStyle w:val="Compact"/>
              <w:jc w:val="left"/>
            </w:pPr>
            <w:r>
              <w:t xml:space="preserve">Low 2</w:t>
            </w:r>
          </w:p>
        </w:tc>
      </w:tr>
      <w:tr>
        <w:tc>
          <w:tcPr/>
          <w:p>
            <w:pPr>
              <w:pStyle w:val="Compact"/>
              <w:jc w:val="left"/>
            </w:pPr>
            <w:r>
              <w:t xml:space="preserve">Vertical integration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Multi-tier data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Buyer pressure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Data-appropriation concern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Raw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Unique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Consistency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Solution coverage / consistency</w:t>
            </w:r>
          </w:p>
        </w:tc>
        <w:tc>
          <w:tcPr/>
          <w:p>
            <w:pPr>
              <w:pStyle w:val="Compact"/>
              <w:jc w:val="left"/>
            </w:pPr>
            <w:r>
              <w:t xml:space="preserve">[ ] / [ ]</w:t>
            </w:r>
          </w:p>
        </w:tc>
        <w:tc>
          <w:tcPr/>
          <w:p>
            <w:pPr>
              <w:pStyle w:val="Compact"/>
            </w:pPr>
          </w:p>
        </w:tc>
        <w:tc>
          <w:tcPr/>
          <w:p>
            <w:pPr>
              <w:pStyle w:val="Compact"/>
            </w:pPr>
          </w:p>
        </w:tc>
        <w:tc>
          <w:tcPr/>
          <w:p>
            <w:pPr>
              <w:pStyle w:val="Compact"/>
              <w:jc w:val="left"/>
            </w:pPr>
            <w:r>
              <w:t xml:space="preserve">[ ] / [ ]</w:t>
            </w:r>
          </w:p>
        </w:tc>
        <w:tc>
          <w:tcPr/>
          <w:p>
            <w:pPr>
              <w:pStyle w:val="Compact"/>
            </w:pPr>
          </w:p>
        </w:tc>
      </w:tr>
    </w:tbl>
    <w:bookmarkEnd w:id="33"/>
    <w:bookmarkStart w:id="38" w:name="discussion"/>
    <w:p>
      <w:pPr>
        <w:pStyle w:val="Heading1"/>
      </w:pPr>
      <w:r>
        <w:t xml:space="preserve">Discussion</w:t>
      </w:r>
    </w:p>
    <w:bookmarkStart w:id="34" w:name="theoretical-implications"/>
    <w:p>
      <w:pPr>
        <w:pStyle w:val="Heading2"/>
      </w:pPr>
      <w:r>
        <w:t xml:space="preserve">Theoretical Implications</w:t>
      </w:r>
    </w:p>
    <w:p>
      <w:pPr>
        <w:pStyle w:val="FirstParagraph"/>
      </w:pPr>
      <w:r>
        <w:t xml:space="preserve">First, the study moves OIPT from asking whether capacity</w:t>
      </w:r>
      <w:r>
        <w:t xml:space="preserve"> </w:t>
      </w:r>
      <w:r>
        <w:rPr>
          <w:iCs/>
          <w:i/>
        </w:rPr>
        <w:t xml:space="preserve">fits</w:t>
      </w:r>
      <w:r>
        <w:t xml:space="preserve"> </w:t>
      </w:r>
      <w:r>
        <w:t xml:space="preserve">requirements to asking</w:t>
      </w:r>
      <w:r>
        <w:t xml:space="preserve"> </w:t>
      </w:r>
      <w:r>
        <w:rPr>
          <w:iCs/>
          <w:i/>
        </w:rPr>
        <w:t xml:space="preserve">which combinations</w:t>
      </w:r>
      <w:r>
        <w:t xml:space="preserve"> </w:t>
      </w:r>
      <w:r>
        <w:t xml:space="preserve">produce fit under externally imposed, multi-tier requirements. Galbraith’s (1974) design alternatives become empirically visible routes: suppliers can own their information or negotiate for it, but either route needs digital capture. Second, data-appropriation concern explains why buyer pressure, the main lever brands use, can fail: pressure creates readiness only where suppliers trust how their data will be used (Fawcett et al., 2007; Gualandris et al., 2021). Third, the decoupling test speaks to the supply chain transparency literature (Montecchi et al., 2021; Sodhi &amp; Tang, 2019). If readiness is not sufficient for circular capability, the passport risks becoming traceability without circularity: compliance data that sit in a registry while material still flows to landfill. Fourth, the findings clarify a design trade-off. Building passport capacity consumes managerial attention and capital that small exporters would otherwise spend on cost, speed and quality. Equifinality means there is more than one way to pay that price, and firms can choose the route that fits their structure.</w:t>
      </w:r>
    </w:p>
    <w:bookmarkEnd w:id="34"/>
    <w:bookmarkStart w:id="35"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There is more than one route to a passport.</w:t>
      </w:r>
      <w:r>
        <w:t xml:space="preserve"> </w:t>
      </w:r>
      <w:r>
        <w:t xml:space="preserve">Integrated firms can build on ownership of their stages; smaller firms can get there through partnerships with upstream suppliers. Both routes need digital capture of the data.</w:t>
      </w:r>
    </w:p>
    <w:p>
      <w:pPr>
        <w:numPr>
          <w:ilvl w:val="0"/>
          <w:numId w:val="1001"/>
        </w:numPr>
        <w:pStyle w:val="Compact"/>
      </w:pPr>
      <w:r>
        <w:rPr>
          <w:bCs/>
          <w:b/>
        </w:rPr>
        <w:t xml:space="preserve">Map before you buy.</w:t>
      </w:r>
      <w:r>
        <w:t xml:space="preserve"> </w:t>
      </w:r>
      <w:r>
        <w:t xml:space="preserve">Identify which tier holds each passport data field before investing in a platform. Software alone [did not] produce readiness in our data.</w:t>
      </w:r>
    </w:p>
    <w:p>
      <w:pPr>
        <w:numPr>
          <w:ilvl w:val="0"/>
          <w:numId w:val="1001"/>
        </w:numPr>
        <w:pStyle w:val="Compact"/>
      </w:pPr>
      <w:r>
        <w:rPr>
          <w:bCs/>
          <w:b/>
        </w:rPr>
        <w:t xml:space="preserve">Fix trust before technology.</w:t>
      </w:r>
      <w:r>
        <w:t xml:space="preserve"> </w:t>
      </w:r>
      <w:r>
        <w:t xml:space="preserve">Where suppliers fear their data will be misused, buyer pressure [backfired]. Brands that limit how they use supplier data, share verification costs or pay for verified data will get better passports.</w:t>
      </w:r>
    </w:p>
    <w:p>
      <w:pPr>
        <w:numPr>
          <w:ilvl w:val="0"/>
          <w:numId w:val="1001"/>
        </w:numPr>
        <w:pStyle w:val="Compact"/>
      </w:pPr>
      <w:r>
        <w:rPr>
          <w:bCs/>
          <w:b/>
        </w:rPr>
        <w:t xml:space="preserve">Use the data, not just file it.</w:t>
      </w:r>
      <w:r>
        <w:t xml:space="preserve"> </w:t>
      </w:r>
      <w:r>
        <w:t xml:space="preserve">Readiness led to circular capability [only when combined with …].</w:t>
      </w:r>
    </w:p>
    <w:bookmarkEnd w:id="35"/>
    <w:bookmarkStart w:id="36" w:name="policy-implications"/>
    <w:p>
      <w:pPr>
        <w:pStyle w:val="Heading2"/>
      </w:pPr>
      <w:r>
        <w:t xml:space="preserve">Policy Implications</w:t>
      </w:r>
    </w:p>
    <w:p>
      <w:pPr>
        <w:pStyle w:val="FirstParagraph"/>
      </w:pPr>
      <w:r>
        <w:t xml:space="preserve">The passport shifts information-processing costs upstream, to the actors least able to bear them. If the networked route depends on trust and digital capture that small sub-suppliers cannot provide alone, the passport could concentrate EU sourcing among large, vertically integrated exporters. Two levers follow. First, shared data infrastructure, such as cluster-level traceability platforms in Tiruppur or Ludhiana run by industry associations, lowers the fixed cost of digital capture. Second, enforceable data-use safeguards, built into the passport’s access rights or into the EU–India agreement’s sustainability chapter, lower appropriation concern.</w:t>
      </w:r>
    </w:p>
    <w:bookmarkEnd w:id="36"/>
    <w:bookmarkStart w:id="37" w:name="limitations-and-future-research"/>
    <w:p>
      <w:pPr>
        <w:pStyle w:val="Heading2"/>
      </w:pPr>
      <w:r>
        <w:t xml:space="preserve">Limitations and Future Research</w:t>
      </w:r>
    </w:p>
    <w:p>
      <w:pPr>
        <w:pStyle w:val="FirstParagraph"/>
      </w:pPr>
      <w:r>
        <w:t xml:space="preserve">fsQCA identifies set relations, not net effects, and our cross-sectional data support configurational rather than causal claims. The purposive sample of [N] firms supports analytical, not statistical, generalisation. Readiness is measured before the delegated act fixes the data fields. Our configurations are also a starting point for larger-sample tests: each route implies interaction effects that a regression or structural model could estimate across a wider population. Future research should revisit these firms once the passport is mandatory, extend the analysis to Bangladesh, Vietnam and Türkiye, and test the routes we identify with larger samples.</w:t>
      </w:r>
    </w:p>
    <w:bookmarkEnd w:id="37"/>
    <w:bookmarkEnd w:id="38"/>
    <w:bookmarkStart w:id="39" w:name="conclusion"/>
    <w:p>
      <w:pPr>
        <w:pStyle w:val="Heading1"/>
      </w:pPr>
      <w:r>
        <w:t xml:space="preserve">Conclusion</w:t>
      </w:r>
    </w:p>
    <w:p>
      <w:pPr>
        <w:pStyle w:val="FirstParagraph"/>
      </w:pPr>
      <w:r>
        <w:t xml:space="preserve">The Digital Product Passport is a supply chain design decision disguised as a compliance requirement. There is no single route to readiness, and the configurations that work depend on how a supplier is structured and whom it trusts. Our study shows [one-sentence headline finding] and points to where firms and governments should invest first.</w:t>
      </w:r>
    </w:p>
    <w:bookmarkEnd w:id="39"/>
    <w:bookmarkStart w:id="40"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Owned, Negotiated or Borrowed Routes to Digital Product Passport Readiness in Indian Apparel Exports</dc:title>
  <dc:creator/>
  <cp:keywords/>
  <dcterms:created xsi:type="dcterms:W3CDTF">2026-10-25T19:44:17Z</dcterms:created>
  <dcterms:modified xsi:type="dcterms:W3CDTF">2026-10-25T19:44:17Z</dcterms:modified>
</cp:coreProperties>
</file>

<file path=docProps/custom.xml><?xml version="1.0" encoding="utf-8"?>
<Properties xmlns="http://schemas.openxmlformats.org/officeDocument/2006/custom-properties" xmlns:vt="http://schemas.openxmlformats.org/officeDocument/2006/docPropsVTypes"/>
</file>