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Supplier</w:t>
      </w:r>
      <w:r>
        <w:t xml:space="preserve"> </w:t>
      </w:r>
      <w:r>
        <w:t xml:space="preserve">Information-Processing</w:t>
      </w:r>
      <w:r>
        <w:t xml:space="preserve"> </w:t>
      </w:r>
      <w:r>
        <w:t xml:space="preserve">Capacity,</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w:t>
      </w:r>
      <w:r>
        <w:t xml:space="preserve"> </w:t>
      </w:r>
      <w:r>
        <w:t xml:space="preserve">Supply</w:t>
      </w:r>
      <w:r>
        <w:t xml:space="preserve"> </w:t>
      </w:r>
      <w:r>
        <w:t xml:space="preserve">Chains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Subtitle"/>
      </w:pPr>
      <w:r>
        <w:t xml:space="preserve">Abstract</w:t>
      </w:r>
      <w:r>
        <w:t xml:space="preserve"> </w:t>
      </w:r>
      <w:r>
        <w:t xml:space="preserve">submitted</w:t>
      </w:r>
      <w:r>
        <w:t xml:space="preserve"> </w:t>
      </w:r>
      <w:r>
        <w:t xml:space="preserve">to</w:t>
      </w:r>
      <w:r>
        <w:t xml:space="preserve"> </w:t>
      </w:r>
      <w:r>
        <w:t xml:space="preserve">the</w:t>
      </w:r>
      <w:r>
        <w:t xml:space="preserve"> </w:t>
      </w:r>
      <w:r>
        <w:t xml:space="preserve">Journal</w:t>
      </w:r>
      <w:r>
        <w:t xml:space="preserve"> </w:t>
      </w:r>
      <w:r>
        <w:t xml:space="preserve">of</w:t>
      </w:r>
      <w:r>
        <w:t xml:space="preserve"> </w:t>
      </w:r>
      <w:r>
        <w:t xml:space="preserve">Business</w:t>
      </w:r>
      <w:r>
        <w:t xml:space="preserve"> </w:t>
      </w:r>
      <w:r>
        <w:t xml:space="preserve">Logistics</w:t>
      </w:r>
      <w:r>
        <w:t xml:space="preserve"> </w:t>
      </w:r>
      <w:r>
        <w:t xml:space="preserve">Special</w:t>
      </w:r>
      <w:r>
        <w:t xml:space="preserve"> </w:t>
      </w:r>
      <w:r>
        <w:t xml:space="preserve">Topic</w:t>
      </w:r>
      <w:r>
        <w:t xml:space="preserve"> </w:t>
      </w:r>
      <w:r>
        <w:t xml:space="preserve">Forum</w:t>
      </w:r>
      <w:r>
        <w:t xml:space="preserve"> </w:t>
      </w:r>
      <w:r>
        <w:rPr>
          <w:iCs/>
          <w:i/>
        </w:rPr>
        <w:t xml:space="preserve">To</w:t>
      </w:r>
      <w:r>
        <w:rPr>
          <w:iCs/>
          <w:i/>
        </w:rPr>
        <w:t xml:space="preserve"> </w:t>
      </w:r>
      <w:r>
        <w:rPr>
          <w:iCs/>
          <w:i/>
        </w:rPr>
        <w:t xml:space="preserve">the</w:t>
      </w:r>
      <w:r>
        <w:rPr>
          <w:iCs/>
          <w:i/>
        </w:rPr>
        <w:t xml:space="preserve"> </w:t>
      </w:r>
      <w:r>
        <w:rPr>
          <w:iCs/>
          <w:i/>
        </w:rPr>
        <w:t xml:space="preserve">Point!</w:t>
      </w:r>
      <w:r>
        <w:rPr>
          <w:iCs/>
          <w:i/>
        </w:rPr>
        <w:t xml:space="preserve"> </w:t>
      </w:r>
      <w:r>
        <w:rPr>
          <w:iCs/>
          <w:i/>
        </w:rPr>
        <w:t xml:space="preserve">Supply</w:t>
      </w:r>
      <w:r>
        <w:rPr>
          <w:iCs/>
          <w:i/>
        </w:rPr>
        <w:t xml:space="preserve"> </w:t>
      </w:r>
      <w:r>
        <w:rPr>
          <w:iCs/>
          <w:i/>
        </w:rPr>
        <w:t xml:space="preserve">Chain</w:t>
      </w:r>
      <w:r>
        <w:rPr>
          <w:iCs/>
          <w:i/>
        </w:rPr>
        <w:t xml:space="preserve"> </w:t>
      </w:r>
      <w:r>
        <w:rPr>
          <w:iCs/>
          <w:i/>
        </w:rPr>
        <w:t xml:space="preserve">Management</w:t>
      </w:r>
      <w:r>
        <w:rPr>
          <w:iCs/>
          <w:i/>
        </w:rPr>
        <w:t xml:space="preserve"> </w:t>
      </w:r>
      <w:r>
        <w:rPr>
          <w:iCs/>
          <w:i/>
        </w:rPr>
        <w:t xml:space="preserve">Design:</w:t>
      </w:r>
      <w:r>
        <w:rPr>
          <w:iCs/>
          <w:i/>
        </w:rPr>
        <w:t xml:space="preserve"> </w:t>
      </w:r>
      <w:r>
        <w:rPr>
          <w:iCs/>
          <w:i/>
        </w:rPr>
        <w:t xml:space="preserve">Seeking</w:t>
      </w:r>
      <w:r>
        <w:rPr>
          <w:iCs/>
          <w:i/>
        </w:rPr>
        <w:t xml:space="preserve"> </w:t>
      </w:r>
      <w:r>
        <w:rPr>
          <w:iCs/>
          <w:i/>
        </w:rPr>
        <w:t xml:space="preserve">Research</w:t>
      </w:r>
      <w:r>
        <w:rPr>
          <w:iCs/>
          <w:i/>
        </w:rPr>
        <w:t xml:space="preserve"> </w:t>
      </w:r>
      <w:r>
        <w:rPr>
          <w:iCs/>
          <w:i/>
        </w:rPr>
        <w:t xml:space="preserve">that</w:t>
      </w:r>
      <w:r>
        <w:rPr>
          <w:iCs/>
          <w:i/>
        </w:rPr>
        <w:t xml:space="preserve"> </w:t>
      </w:r>
      <w:r>
        <w:rPr>
          <w:iCs/>
          <w:i/>
        </w:rPr>
        <w:t xml:space="preserve">Resonates</w:t>
      </w:r>
      <w:r>
        <w:t xml:space="preserve"> </w:t>
      </w:r>
      <w:r>
        <w:t xml:space="preserve">(deadline</w:t>
      </w:r>
      <w:r>
        <w:t xml:space="preserve"> </w:t>
      </w:r>
      <w:r>
        <w:t xml:space="preserve">31</w:t>
      </w:r>
      <w:r>
        <w:t xml:space="preserve"> </w:t>
      </w:r>
      <w:r>
        <w:t xml:space="preserve">December</w:t>
      </w:r>
      <w:r>
        <w:t xml:space="preserve"> </w:t>
      </w:r>
      <w:r>
        <w:t xml:space="preserve">2026)</w:t>
      </w:r>
    </w:p>
    <w:bookmarkStart w:id="20" w:name="abstract"/>
    <w:p>
      <w:pPr>
        <w:pStyle w:val="Heading1"/>
      </w:pPr>
      <w:r>
        <w:t xml:space="preserve">Abstract</w:t>
      </w:r>
    </w:p>
    <w:p>
      <w:pPr>
        <w:pStyle w:val="FirstParagraph"/>
      </w:pPr>
      <w:r>
        <w:rPr>
          <w:bCs/>
          <w:b/>
        </w:rPr>
        <w:t xml:space="preserve">What we will do.</w:t>
      </w:r>
      <w:r>
        <w:t xml:space="preserve"> </w:t>
      </w:r>
      <w:r>
        <w:t xml:space="preserve">Under the EU Ecodesign for Sustainable Products Regulation (2024/1781), every garment sold in the EU will carry a Digital Product Passport (DPP): a product-level record of fibre composition, origin by processing stage, substances of concern, footprint, durability and recyclability. The textile delegated act is planned for 2027. Meanwhile, the destruction ban on unsold apparel (in force since July 2026) and the live DPP Registry are already pushing documentation demands onto suppliers. Most passport data sit not with brands but with suppliers several tiers upstream in exporting countries. We ask:</w:t>
      </w:r>
      <w:r>
        <w:t xml:space="preserve"> </w:t>
      </w:r>
      <w:r>
        <w:rPr>
          <w:iCs/>
          <w:i/>
        </w:rPr>
        <w:t xml:space="preserve">How do apparel suppliers build the capacity to produce passport-grade data, and does that capacity become circular supply chain capability and export performance, or only paperwork?</w:t>
      </w:r>
    </w:p>
    <w:p>
      <w:pPr>
        <w:pStyle w:val="BodyText"/>
      </w:pPr>
      <w:r>
        <w:rPr>
          <w:bCs/>
          <w:b/>
        </w:rPr>
        <w:t xml:space="preserve">Why readers should care.</w:t>
      </w:r>
      <w:r>
        <w:t xml:space="preserve"> </w:t>
      </w:r>
      <w:r>
        <w:t xml:space="preserve">India is at a pivot point. U.S. tariffs of up to 50% and the EU–India free trade agreement concluded in January 2026 are steering Indian exporters toward the EU, just as the EU makes product data a condition of market access. Choices made in 2027, before the mandate, will decide which suppliers remain in EU supply chains. For managers, the DPP is a supply chain design problem (who collects, standardises and shares which data, across how many tiers), not an IT purchase. For policymakers, it raises a question of distributive justice: who pays for transparency?</w:t>
      </w:r>
    </w:p>
    <w:p>
      <w:pPr>
        <w:pStyle w:val="BodyText"/>
      </w:pPr>
      <w:r>
        <w:rPr>
          <w:bCs/>
          <w:b/>
        </w:rPr>
        <w:t xml:space="preserve">Theoretical lens.</w:t>
      </w:r>
      <w:r>
        <w:t xml:space="preserve"> </w:t>
      </w:r>
      <w:r>
        <w:t xml:space="preserve">We draw on organizational information processing theory. EU regulation, passed down through buyers, raises suppliers’ information-processing requirements. Suppliers respond by building vertical capacity (digital traceability) and lateral capacity (multi-tier data sharing), which we theorise to be complementary in producing passport readiness.</w:t>
      </w:r>
      <w:r>
        <w:t xml:space="preserve"> </w:t>
      </w:r>
      <w:r>
        <w:rPr>
          <w:iCs/>
          <w:i/>
        </w:rPr>
        <w:t xml:space="preserve">Data-appropriation concern</w:t>
      </w:r>
      <w:r>
        <w:t xml:space="preserve">, the fear that shared data will be used to squeeze prices or switch suppliers, is expected to weaken how far buyer pressure turns into upstream sharing. Drawing on institutional theory, we test two competing expectations: readiness enables circular practices, or it is</w:t>
      </w:r>
      <w:r>
        <w:t xml:space="preserve"> </w:t>
      </w:r>
      <w:r>
        <w:rPr>
          <w:iCs/>
          <w:i/>
        </w:rPr>
        <w:t xml:space="preserve">decoupled</w:t>
      </w:r>
      <w:r>
        <w:t xml:space="preserve"> </w:t>
      </w:r>
      <w:r>
        <w:t xml:space="preserve">as ceremonial compliance.</w:t>
      </w:r>
    </w:p>
    <w:p>
      <w:pPr>
        <w:pStyle w:val="BodyText"/>
      </w:pPr>
      <w:r>
        <w:rPr>
          <w:bCs/>
          <w:b/>
        </w:rPr>
        <w:t xml:space="preserve">Methodology and data.</w:t>
      </w:r>
      <w:r>
        <w:t xml:space="preserve"> </w:t>
      </w:r>
      <w:r>
        <w:t xml:space="preserve">In February and March 2027 we will run a two-wave key-informant survey of Indian textile and apparel exporters supplying EU buyers (target n ≥ 200). The sample will be drawn from the Apparel Export Promotion Council and cluster associations in Tiruppur, Bengaluru, NCR, Ludhiana and Kolkata. Predictors and outcomes are measured in separate waves to reduce common-method variance. We will estimate the model with PLS-SEM, including interaction effects and out-of-sample prediction (PLSpredict), and control for size, tier, vertical integration, certifications and regulatory uncertainty.</w:t>
      </w:r>
    </w:p>
    <w:p>
      <w:pPr>
        <w:pStyle w:val="BodyText"/>
      </w:pPr>
      <w:r>
        <w:rPr>
          <w:bCs/>
          <w:b/>
        </w:rPr>
        <w:t xml:space="preserve">Expected contributions.</w:t>
      </w:r>
      <w:r>
        <w:t xml:space="preserve"> </w:t>
      </w:r>
      <w:r>
        <w:t xml:space="preserve">For theory, we extend information processing theory to regulation-induced, multi-tier information requirements and identify data-appropriation concern as a relational boundary condition. For practice, we offer suppliers and brands a passport-readiness diagnostic and evidence on whether to invest in systems, in supplier relationships, or in both. For policy, we show where shared data infrastructure, cost-sharing and data-use safeguards could close the</w:t>
      </w:r>
      <w:r>
        <w:t xml:space="preserve"> </w:t>
      </w:r>
      <w:r>
        <w:t xml:space="preserve">“</w:t>
      </w:r>
      <w:r>
        <w:t xml:space="preserve">passport gap</w:t>
      </w:r>
      <w:r>
        <w:t xml:space="preserve">”</w:t>
      </w:r>
      <w:r>
        <w:t xml:space="preserve"> </w:t>
      </w:r>
      <w:r>
        <w:t xml:space="preserve">without pushing small suppliers out of EU value chains.</w:t>
      </w:r>
    </w:p>
    <w:p>
      <w:pPr>
        <w:pStyle w:val="BodyText"/>
      </w:pPr>
      <w:r>
        <w:rPr>
          <w:iCs/>
          <w:i/>
        </w:rPr>
        <w:t xml:space="preserve">Keywords:</w:t>
      </w:r>
      <w:r>
        <w:t xml:space="preserve"> </w:t>
      </w:r>
      <w:r>
        <w:t xml:space="preserve">digital product passport; circular economy; apparel supply chains; information processing theory; multi-tier traceability; India; PLS-SEM</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Supplier Information-Processing Capacity, Digital Product Passport Readiness, and Circular Supply Chains in Indian Apparel Exports</dc:title>
  <dc:creator/>
  <cp:keywords/>
  <dcterms:created xsi:type="dcterms:W3CDTF">2026-10-25T19:01:49Z</dcterms:created>
  <dcterms:modified xsi:type="dcterms:W3CDTF">2026-10-25T19:01:49Z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Abstract submitted to the Journal of Business Logistics Special Topic Forum To the Point! Supply Chain Management Design: Seeking Research that Resonates (deadline 31 December 2026)</vt:lpwstr>
  </property>
</Properties>
</file>