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Configurations</w:t>
      </w:r>
      <w:r>
        <w:t xml:space="preserve"> </w:t>
      </w:r>
      <w:r>
        <w:t xml:space="preserve">of</w:t>
      </w:r>
      <w:r>
        <w:t xml:space="preserve"> </w:t>
      </w:r>
      <w:r>
        <w:t xml:space="preserve">Supplier</w:t>
      </w:r>
      <w:r>
        <w:t xml:space="preserve"> </w:t>
      </w:r>
      <w:r>
        <w:t xml:space="preserve">Capacity</w:t>
      </w:r>
      <w:r>
        <w:t xml:space="preserve"> </w:t>
      </w:r>
      <w:r>
        <w:t xml:space="preserve">for</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Circularity</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suppliers can meet passport requirements through different combinations of capacity: owning the upstream stages, building digital traceability, or persuading independent sub-suppliers to share data. We argue too that buyer pressure works only when suppliers do not fear that their data will be used against them. Using fuzzy-set qualitative comparative analysis (fsQCA) of [N] Indian textile and apparel exporters surveyed between December 2026 and February 2027, we identify [number] configurations sufficient for high passport readiness and [number] for its absence. We also test whether readiness is sufficient for circular supply chain capability. [Summary of findings.] The results give suppliers alternative routes to readiness, show brands that data-use safeguards matter, and show policymakers where shared infrastructure could close the</w:t>
      </w:r>
      <w:r>
        <w:t xml:space="preserve"> </w:t>
      </w:r>
      <w:r>
        <w:t xml:space="preserve">“</w:t>
      </w:r>
      <w:r>
        <w:t xml:space="preserve">passport gap</w:t>
      </w:r>
      <w:r>
        <w:t xml:space="preserve">”</w:t>
      </w:r>
      <w:r>
        <w:t xml:space="preserve"> </w:t>
      </w:r>
      <w:r>
        <w:t xml:space="preserve">for small suppliers.</w:t>
      </w:r>
    </w:p>
    <w:p>
      <w:pPr>
        <w:pStyle w:val="BodyText"/>
      </w:pPr>
      <w:r>
        <w:rPr>
          <w:iCs/>
          <w:i/>
        </w:rPr>
        <w:t xml:space="preserve">Keywords:</w:t>
      </w:r>
      <w:r>
        <w:t xml:space="preserve"> </w:t>
      </w:r>
      <w:r>
        <w:t xml:space="preserve">digital product passport; circular economy; apparel supply chains; organizational information processing theory; fsQCA;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Supply chain design rarely has one right answer. A vertically integrated mill-to-garment exporter and a small Tiruppur knitter that relies on job-work dyehouses face the same passport but start from very different structures. We therefore ask a configurational question:</w:t>
      </w:r>
      <w:r>
        <w:t xml:space="preserve"> </w:t>
      </w:r>
      <w:r>
        <w:rPr>
          <w:iCs/>
          <w:i/>
        </w:rPr>
        <w:t xml:space="preserve">Which combinations of supplier conditions lead to high passport readiness, which lead to its absence, and is readiness enough for circularity?</w:t>
      </w:r>
      <w:r>
        <w:t xml:space="preserve"> </w:t>
      </w:r>
      <w:r>
        <w:t xml:space="preserve">To make sense of a fast-moving regulatory landscape (Fawcett &amp; Waller, 2011), we draw on organizational information processing theory (OIPT; Galbraith, 1974; Tushman &amp; Nadler, 1978) and institutional theory (Meyer &amp; Rowan, 1977). We analyse 2026–27 data from Indian textile and apparel exporters with fuzzy-set qualitative comparative analysis (fsQCA; Fiss, 2011; Ragin, 2008), which is designed for exactly this kind of question: several routes to the same outcome, conditions that matter only in combination, and different explanations for success and failure.</w:t>
      </w:r>
    </w:p>
    <w:p>
      <w:pPr>
        <w:pStyle w:val="BodyText"/>
      </w:pPr>
      <w:r>
        <w:t xml:space="preserve">We make three contributions. First, we extend OIPT from a single-route logic of</w:t>
      </w:r>
      <w:r>
        <w:t xml:space="preserve"> </w:t>
      </w:r>
      <w:r>
        <w:t xml:space="preserve">“</w:t>
      </w:r>
      <w:r>
        <w:t xml:space="preserve">fit</w:t>
      </w:r>
      <w:r>
        <w:t xml:space="preserve">”</w:t>
      </w:r>
      <w:r>
        <w:t xml:space="preserve"> </w:t>
      </w:r>
      <w:r>
        <w:t xml:space="preserve">to</w:t>
      </w:r>
      <w:r>
        <w:t xml:space="preserve"> </w:t>
      </w:r>
      <w:r>
        <w:rPr>
          <w:iCs/>
          <w:i/>
        </w:rPr>
        <w:t xml:space="preserve">equifinal</w:t>
      </w:r>
      <w:r>
        <w:t xml:space="preserve"> </w:t>
      </w:r>
      <w:r>
        <w:t xml:space="preserve">routes to fit under regulation-induced, multi-tier information requirements. Second, we show when buyer pressure fails, by identifying</w:t>
      </w:r>
      <w:r>
        <w:t xml:space="preserve"> </w:t>
      </w:r>
      <w:r>
        <w:rPr>
          <w:iCs/>
          <w:i/>
        </w:rPr>
        <w:t xml:space="preserve">data-appropriation concern</w:t>
      </w:r>
      <w:r>
        <w:t xml:space="preserve"> </w:t>
      </w:r>
      <w:r>
        <w:t xml:space="preserve">as a condition that turns pressure into resistance. Third, we test whether passport readiness is sufficient for circular capability or decoupled from it. That test speaks to the connections and trade-offs between sustainability, risk and operational excellence that supply chain designers must manage.</w:t>
      </w:r>
    </w:p>
    <w:bookmarkEnd w:id="21"/>
    <w:bookmarkStart w:id="27" w:name="theory-and-propositions"/>
    <w:p>
      <w:pPr>
        <w:pStyle w:val="Heading1"/>
      </w:pPr>
      <w:r>
        <w:t xml:space="preserve">Theory and Propositions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Galbraith (1974) described several design responses: firms can reduce the need for information, for example by bringing interdependent activities under one roof, or raise capacity through vertical information systems or lateral relations across boundaries (Premkumar et al., 2005; Srinivasan &amp; Swink, 2018). Crucially for our purposes, Galbraith presented these as</w:t>
      </w:r>
      <w:r>
        <w:t xml:space="preserve"> </w:t>
      </w:r>
      <w:r>
        <w:rPr>
          <w:iCs/>
          <w:i/>
        </w:rPr>
        <w:t xml:space="preserve">alternative</w:t>
      </w:r>
      <w:r>
        <w:t xml:space="preserve"> </w:t>
      </w:r>
      <w:r>
        <w:t xml:space="preserve">strategies, which is an inherently configurational idea.</w:t>
      </w:r>
    </w:p>
    <w:p>
      <w:pPr>
        <w:pStyle w:val="BodyText"/>
      </w:pPr>
      <w:r>
        <w:t xml:space="preserve">Supply chain research has mostly tested OIPT with variance-based models that estimate the average net effect of each capability (e.g., Srinivasan &amp; Swink, 2018). That logic assumes a capability helps every firm in the same way and that more of one capability can make up for less of another. Supply chain design suggests otherwise. Whether a capability pays off depends on how it fits with the firm’s structure and relationships, and very different designs can perform equally well (Misangyi et al., 2017). Configurational theory makes this explicit with three ideas:</w:t>
      </w:r>
      <w:r>
        <w:t xml:space="preserve"> </w:t>
      </w:r>
      <w:r>
        <w:rPr>
          <w:iCs/>
          <w:i/>
        </w:rPr>
        <w:t xml:space="preserve">conjunction</w:t>
      </w:r>
      <w:r>
        <w:t xml:space="preserve"> </w:t>
      </w:r>
      <w:r>
        <w:t xml:space="preserve">(conditions work in combination),</w:t>
      </w:r>
      <w:r>
        <w:t xml:space="preserve"> </w:t>
      </w:r>
      <w:r>
        <w:rPr>
          <w:iCs/>
          <w:i/>
        </w:rPr>
        <w:t xml:space="preserve">equifinality</w:t>
      </w:r>
      <w:r>
        <w:t xml:space="preserve"> </w:t>
      </w:r>
      <w:r>
        <w:t xml:space="preserve">(several combinations lead to the same outcome) and</w:t>
      </w:r>
      <w:r>
        <w:t xml:space="preserve"> </w:t>
      </w:r>
      <w:r>
        <w:rPr>
          <w:iCs/>
          <w:i/>
        </w:rPr>
        <w:t xml:space="preserve">asymmetry</w:t>
      </w:r>
      <w:r>
        <w:t xml:space="preserve"> </w:t>
      </w:r>
      <w:r>
        <w:t xml:space="preserve">(the causes of failure are not simply the reverse of the causes of success).</w:t>
      </w:r>
    </w:p>
    <w:p>
      <w:pPr>
        <w:pStyle w:val="BodyText"/>
      </w:pPr>
      <w:r>
        <w:t xml:space="preserve">The DPP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contractual data clauses. This</w:t>
      </w:r>
      <w:r>
        <w:t xml:space="preserve"> </w:t>
      </w:r>
      <w:r>
        <w:rPr>
          <w:bCs/>
          <w:b/>
        </w:rPr>
        <w:t xml:space="preserve">buyer-transmitted pressure</w:t>
      </w:r>
      <w:r>
        <w:t xml:space="preserve"> </w:t>
      </w:r>
      <w:r>
        <w:t xml:space="preserve">is coercive in institutional terms (DiMaggio &amp; Powell, 1983; Zhu &amp; Sarkis, 2007), but its content is informational. Indian apparel supply chains make it unusually demanding. Production is fragmented across small firms; dyeing, printing and embroidery are often subcontracted as job work; and yarn and fabric are bought through traders who may not disclose the mill of origin. A single garment can pass through five or more independent firms, each holding a fragment of the passport’s data.</w:t>
      </w:r>
    </w:p>
    <w:bookmarkEnd w:id="22"/>
    <w:bookmarkStart w:id="26" w:name="X6728f2c0576a76137f43d5de804cbe99f6e80c9"/>
    <w:p>
      <w:pPr>
        <w:pStyle w:val="Heading2"/>
      </w:pPr>
      <w:r>
        <w:t xml:space="preserve">Conditions and Configurational Propositions</w:t>
      </w:r>
    </w:p>
    <w:p>
      <w:pPr>
        <w:pStyle w:val="FirstParagraph"/>
      </w:pPr>
      <w:r>
        <w:t xml:space="preserve">We consider five conditions.</w:t>
      </w:r>
      <w:r>
        <w:t xml:space="preserve"> </w:t>
      </w:r>
      <w:r>
        <w:rPr>
          <w:bCs/>
          <w:b/>
        </w:rPr>
        <w:t xml:space="preserve">Vertical integration</w:t>
      </w:r>
      <w:r>
        <w:t xml:space="preserve"> </w:t>
      </w:r>
      <w:r>
        <w:t xml:space="preserve">is the share of processing stages (spinning to stitching) performed in-house. It reduces information requirements by internalising interdependence.</w:t>
      </w:r>
      <w:r>
        <w:t xml:space="preserve"> </w:t>
      </w:r>
      <w:r>
        <w:rPr>
          <w:bCs/>
          <w:b/>
        </w:rPr>
        <w:t xml:space="preserve">Digital traceability</w:t>
      </w:r>
      <w:r>
        <w:t xml:space="preserve"> </w:t>
      </w:r>
      <w:r>
        <w:t xml:space="preserve">is structured, interoperable digital capture of material and process data linked to batches and styles (Agrawal et al., 2021; Kouhizadeh et al., 2021); it is vertical capacity.</w:t>
      </w:r>
      <w:r>
        <w:t xml:space="preserve"> </w:t>
      </w:r>
      <w:r>
        <w:rPr>
          <w:bCs/>
          <w:b/>
        </w:rPr>
        <w:t xml:space="preserve">Multi-tier data sharing</w:t>
      </w:r>
      <w:r>
        <w:t xml:space="preserve"> </w:t>
      </w:r>
      <w:r>
        <w:t xml:space="preserve">is the extent to which independent upstream suppliers provide timely, accurate data (Fawcett et al., 2007; Kembro et al., 2017); it is lateral capacity.</w:t>
      </w:r>
      <w:r>
        <w:t xml:space="preserve"> </w:t>
      </w:r>
      <w:r>
        <w:rPr>
          <w:bCs/>
          <w:b/>
        </w:rPr>
        <w:t xml:space="preserve">Buyer pressure</w:t>
      </w:r>
      <w:r>
        <w:t xml:space="preserve"> </w:t>
      </w:r>
      <w:r>
        <w:t xml:space="preserve">captures the requirement side.</w:t>
      </w:r>
      <w:r>
        <w:t xml:space="preserve"> </w:t>
      </w:r>
      <w:r>
        <w:rPr>
          <w:bCs/>
          <w:b/>
        </w:rPr>
        <w:t xml:space="preserve">Data-appropriation concern</w:t>
      </w:r>
      <w:r>
        <w:t xml:space="preserve"> </w:t>
      </w:r>
      <w:r>
        <w:t xml:space="preserve">is the fear that shared data will be used to squeeze prices or bypass the supplier (King et al., 2023; Sodhi &amp; Tang, 2019).</w:t>
      </w:r>
    </w:p>
    <w:p>
      <w:pPr>
        <w:pStyle w:val="BodyText"/>
      </w:pPr>
      <w:r>
        <w:t xml:space="preserve">Integration and sharing are two ways of getting hold of upstream data: one through ownership, the other through relationships. Either should work, but only if the data are also captured digitally in passport-ready form.</w:t>
      </w:r>
    </w:p>
    <w:p>
      <w:pPr>
        <w:pStyle w:val="BlockText"/>
      </w:pPr>
      <w:r>
        <w:rPr>
          <w:bCs/>
          <w:b/>
        </w:rPr>
        <w:t xml:space="preserve">P1 (equifinality).</w:t>
      </w:r>
      <w:r>
        <w:t xml:space="preserve"> </w:t>
      </w:r>
      <w:r>
        <w:t xml:space="preserve">High DPP readiness results from at least two configurations: an</w:t>
      </w:r>
      <w:r>
        <w:t xml:space="preserve"> </w:t>
      </w:r>
      <w:r>
        <w:rPr>
          <w:iCs/>
          <w:i/>
        </w:rPr>
        <w:t xml:space="preserve">integrated</w:t>
      </w:r>
      <w:r>
        <w:t xml:space="preserve"> </w:t>
      </w:r>
      <w:r>
        <w:t xml:space="preserve">route (vertical integration with digital traceability) and a</w:t>
      </w:r>
      <w:r>
        <w:t xml:space="preserve"> </w:t>
      </w:r>
      <w:r>
        <w:rPr>
          <w:iCs/>
          <w:i/>
        </w:rPr>
        <w:t xml:space="preserve">networked</w:t>
      </w:r>
      <w:r>
        <w:t xml:space="preserve"> </w:t>
      </w:r>
      <w:r>
        <w:t xml:space="preserve">route (multi-tier data sharing with digital traceability and the absence of data-appropriation concern).</w:t>
      </w:r>
    </w:p>
    <w:p>
      <w:pPr>
        <w:pStyle w:val="FirstParagraph"/>
      </w:pPr>
      <w:r>
        <w:t xml:space="preserve">Systems without data are empty containers, while shared or internal data held on paper cannot be turned into a passport.</w:t>
      </w:r>
    </w:p>
    <w:p>
      <w:pPr>
        <w:pStyle w:val="BlockText"/>
      </w:pPr>
      <w:r>
        <w:rPr>
          <w:bCs/>
          <w:b/>
        </w:rPr>
        <w:t xml:space="preserve">P2 (necessity).</w:t>
      </w:r>
      <w:r>
        <w:t xml:space="preserve"> </w:t>
      </w:r>
      <w:r>
        <w:t xml:space="preserve">Digital traceability is a necessary, but not sufficient, condition for high DPP readiness.</w:t>
      </w:r>
    </w:p>
    <w:p>
      <w:pPr>
        <w:pStyle w:val="FirstParagraph"/>
      </w:pPr>
      <w:r>
        <w:t xml:space="preserve">Pressure alone should not create readiness. Where suppliers fear appropriation, pressure produces selective disclosure rather than data (Fawcett et al., 2007). Because fsQCA allows causal asymmetry, the absence of readiness need not mirror its presence.</w:t>
      </w:r>
    </w:p>
    <w:p>
      <w:pPr>
        <w:pStyle w:val="BlockText"/>
      </w:pPr>
      <w:r>
        <w:rPr>
          <w:bCs/>
          <w:b/>
        </w:rPr>
        <w:t xml:space="preserve">P3 (asymmetry).</w:t>
      </w:r>
      <w:r>
        <w:t xml:space="preserve"> </w:t>
      </w:r>
      <w:r>
        <w:t xml:space="preserve">Buyer pressure combined with data-appropriation concern, in the absence of vertical integration, is sufficient for low DPP readiness.</w:t>
      </w:r>
    </w:p>
    <w:p>
      <w:pPr>
        <w:pStyle w:val="FirstParagraph"/>
      </w:pPr>
      <w:r>
        <w:t xml:space="preserve">Finally, the passport’s policy logic is that information enables circularity: knowing fibre blends and chemistry makes sorting, recycling and reuse feasible (Adisorn et al., 2021; Jensen et al., 2023). Institutional theory warns, however, that firms facing coercive demands often</w:t>
      </w:r>
      <w:r>
        <w:t xml:space="preserve"> </w:t>
      </w:r>
      <w:r>
        <w:rPr>
          <w:iCs/>
          <w:i/>
        </w:rPr>
        <w:t xml:space="preserve">decouple</w:t>
      </w:r>
      <w:r>
        <w:t xml:space="preserve">, adopting the visible structure while leaving practice unchanged (Meyer &amp; Rowan, 1977).</w:t>
      </w:r>
    </w:p>
    <w:p>
      <w:pPr>
        <w:pStyle w:val="BlockText"/>
      </w:pPr>
      <w:r>
        <w:rPr>
          <w:bCs/>
          <w:b/>
        </w:rPr>
        <w:t xml:space="preserve">P4 (decoupling).</w:t>
      </w:r>
      <w:r>
        <w:t xml:space="preserve"> </w:t>
      </w:r>
      <w:r>
        <w:t xml:space="preserve">DPP readiness is not, on its own, sufficient for high circular supply chain capability.</w:t>
      </w:r>
    </w:p>
    <w:p>
      <w:pPr>
        <w:pStyle w:val="FirstParagraph"/>
      </w:pPr>
      <w:r>
        <w:t xml:space="preserve">Figure 1 summarises the configurational model.</w:t>
      </w:r>
    </w:p>
    <w:p>
      <w:pPr>
        <w:pStyle w:val="CaptionedFigure"/>
      </w:pPr>
      <w:r>
        <w:drawing>
          <wp:inline>
            <wp:extent cx="5334000" cy="2040834"/>
            <wp:effectExtent b="0" l="0" r="0" t="0"/>
            <wp:docPr descr="Configurational model. Two expected routes to passport readiness (P1), digital traceability as a necessary condition (P2), a route to low readiness (P3), and the readiness–circularity test (P4)." title="" id="24" name="Picture"/>
            <a:graphic>
              <a:graphicData uri="http://schemas.openxmlformats.org/drawingml/2006/picture">
                <pic:pic>
                  <pic:nvPicPr>
                    <pic:cNvPr descr="figure1_model.png" id="25" name="Picture"/>
                    <pic:cNvPicPr>
                      <a:picLocks noChangeArrowheads="1" noChangeAspect="1"/>
                    </pic:cNvPicPr>
                  </pic:nvPicPr>
                  <pic:blipFill>
                    <a:blip r:embed="rId23"/>
                    <a:stretch>
                      <a:fillRect/>
                    </a:stretch>
                  </pic:blipFill>
                  <pic:spPr bwMode="auto">
                    <a:xfrm>
                      <a:off x="0" y="0"/>
                      <a:ext cx="5334000" cy="2040834"/>
                    </a:xfrm>
                    <a:prstGeom prst="rect">
                      <a:avLst/>
                    </a:prstGeom>
                    <a:noFill/>
                    <a:ln w="9525">
                      <a:noFill/>
                      <a:headEnd/>
                      <a:tailEnd/>
                    </a:ln>
                  </pic:spPr>
                </pic:pic>
              </a:graphicData>
            </a:graphic>
          </wp:inline>
        </w:drawing>
      </w:r>
    </w:p>
    <w:p>
      <w:pPr>
        <w:pStyle w:val="ImageCaption"/>
      </w:pPr>
      <w:r>
        <w:t xml:space="preserve">Configurational model. Two expected routes to passport readiness (P1), digital traceability as a necessary condition (P2), a route to low readiness (P3), and the readiness–circularity test (P4).</w:t>
      </w:r>
    </w:p>
    <w:bookmarkEnd w:id="26"/>
    <w:bookmarkEnd w:id="27"/>
    <w:bookmarkStart w:id="32" w:name="method"/>
    <w:p>
      <w:pPr>
        <w:pStyle w:val="Heading1"/>
      </w:pPr>
      <w:r>
        <w:t xml:space="preserve">Method</w:t>
      </w:r>
    </w:p>
    <w:bookmarkStart w:id="28" w:name="why-fsqca"/>
    <w:p>
      <w:pPr>
        <w:pStyle w:val="Heading2"/>
      </w:pPr>
      <w:r>
        <w:t xml:space="preserve">Why fsQCA</w:t>
      </w:r>
    </w:p>
    <w:p>
      <w:pPr>
        <w:pStyle w:val="FirstParagraph"/>
      </w:pPr>
      <w:r>
        <w:t xml:space="preserve">Our propositions concern combinations, alternative routes and asymmetry, which correlational methods treat as noise around an average effect (Misangyi et al., 2017). fsQCA treats each firm as a configuration of conditions and uses Boolean minimisation to identify which combinations are consistently sufficient or necessary for an outcome (Ragin, 2008; Schneider &amp; Wagemann, 2012). It suits small-to-medium samples and combines systematic cross-case comparison with knowledge of individual cases (Greckhamer et al., 2018), which matches the depth of access achievable with Indian exporters within the forum’s timeline.</w:t>
      </w:r>
    </w:p>
    <w:bookmarkEnd w:id="28"/>
    <w:bookmarkStart w:id="29" w:name="sample-and-data-collection"/>
    <w:p>
      <w:pPr>
        <w:pStyle w:val="Heading2"/>
      </w:pPr>
      <w:r>
        <w:t xml:space="preserve">Sample and Data Collection</w:t>
      </w:r>
    </w:p>
    <w:p>
      <w:pPr>
        <w:pStyle w:val="FirstParagraph"/>
      </w:pPr>
      <w:r>
        <w:t xml:space="preserve">The population is Indian textile and apparel manufacturer-exporters with at least one EU buyer. Following QCA practice, we used purposive, diversity-oriented sampling rather than random sampling (Greckhamer et al., 2018), aiming for variation across clusters (Tiruppur, Bengaluru, the National Capital Region, Ludhiana and Kolkata), supply chain tiers, firm sizes and degrees of integration. Firms were approached through the Apparel Export Promotion Council, cluster associations and referrals. Between December 2026 and February 2027, trained researchers administered a structured questionnaire in person or by video call (30–40 minutes) to owners, directors, or heads of compliance, sustainability or merchandising. Each session ended with three open questions, to build the case knowledge needed to interpret configurations. The final sample comprises [N] firms ([details of the sample]).</w:t>
      </w:r>
    </w:p>
    <w:p>
      <w:pPr>
        <w:pStyle w:val="BodyText"/>
      </w:pPr>
      <w:r>
        <w:t xml:space="preserve">Three steps protected data quality. First, factual items were asked as concrete yes/no questions about current practice (</w:t>
      </w:r>
      <w:r>
        <w:t xml:space="preserve">“</w:t>
      </w:r>
      <w:r>
        <w:t xml:space="preserve">Can you supply, today, verified data on…?</w:t>
      </w:r>
      <w:r>
        <w:t xml:space="preserve">”</w:t>
      </w:r>
      <w:r>
        <w:t xml:space="preserve">). Where respondents agreed, researchers sighted a sample document, such as a transaction certificate, a test report or a buyer data template, for [share]% of firms. Second, interviews were conducted by two researchers, who resolved coding disagreements by discussion. Third, the case notes from the open questions were kept alongside the data matrix, so that each configuration could be traced back to recognisable firms. This is the case knowledge that distinguishes fsQCA from purely statistical analysis (Greckhamer et al., 2018).</w:t>
      </w:r>
    </w:p>
    <w:bookmarkEnd w:id="29"/>
    <w:bookmarkStart w:id="30" w:name="measures-and-calibration"/>
    <w:p>
      <w:pPr>
        <w:pStyle w:val="Heading2"/>
      </w:pPr>
      <w:r>
        <w:t xml:space="preserve">Measures and Calibration</w:t>
      </w:r>
    </w:p>
    <w:p>
      <w:pPr>
        <w:pStyle w:val="FirstParagraph"/>
      </w:pPr>
      <w:r>
        <w:t xml:space="preserve">To limit the burden of scale development and the risk of common-method bias (Podsakoff et al., 2003), three conditions and both outcomes use</w:t>
      </w:r>
      <w:r>
        <w:t xml:space="preserve"> </w:t>
      </w:r>
      <w:r>
        <w:rPr>
          <w:iCs/>
          <w:i/>
        </w:rPr>
        <w:t xml:space="preserve">factual</w:t>
      </w:r>
      <w:r>
        <w:t xml:space="preserve"> </w:t>
      </w:r>
      <w:r>
        <w:t xml:space="preserve">checklists rather than attitude scales (Online Appendix A).</w:t>
      </w:r>
      <w:r>
        <w:t xml:space="preserve"> </w:t>
      </w:r>
      <w:r>
        <w:rPr>
          <w:bCs/>
          <w:b/>
        </w:rPr>
        <w:t xml:space="preserve">DPP readiness</w:t>
      </w:r>
      <w:r>
        <w:t xml:space="preserve"> </w:t>
      </w:r>
      <w:r>
        <w:t xml:space="preserve">counts the passport data categories (of seven) that the firm can supply, verified and at style or batch level, today.</w:t>
      </w:r>
      <w:r>
        <w:t xml:space="preserve"> </w:t>
      </w:r>
      <w:r>
        <w:rPr>
          <w:bCs/>
          <w:b/>
        </w:rPr>
        <w:t xml:space="preserve">Circular capability</w:t>
      </w:r>
      <w:r>
        <w:t xml:space="preserve"> </w:t>
      </w:r>
      <w:r>
        <w:t xml:space="preserve">counts circular practices in place (of five).</w:t>
      </w:r>
      <w:r>
        <w:t xml:space="preserve"> </w:t>
      </w:r>
      <w:r>
        <w:rPr>
          <w:bCs/>
          <w:b/>
        </w:rPr>
        <w:t xml:space="preserve">Digital traceability</w:t>
      </w:r>
      <w:r>
        <w:t xml:space="preserve"> </w:t>
      </w:r>
      <w:r>
        <w:t xml:space="preserve">counts digital practices in place (of five).</w:t>
      </w:r>
      <w:r>
        <w:t xml:space="preserve"> </w:t>
      </w:r>
      <w:r>
        <w:rPr>
          <w:bCs/>
          <w:b/>
        </w:rPr>
        <w:t xml:space="preserve">Vertical integration</w:t>
      </w:r>
      <w:r>
        <w:t xml:space="preserve"> </w:t>
      </w:r>
      <w:r>
        <w:t xml:space="preserve">counts the processing stages performed in-house (of six).</w:t>
      </w:r>
      <w:r>
        <w:t xml:space="preserve"> </w:t>
      </w:r>
      <w:r>
        <w:rPr>
          <w:bCs/>
          <w:b/>
        </w:rPr>
        <w:t xml:space="preserve">Multi-tier data sharing</w:t>
      </w:r>
      <w:r>
        <w:t xml:space="preserve"> </w:t>
      </w:r>
      <w:r>
        <w:t xml:space="preserve">is the share of key upstream suppliers that provide origin and chemical data.</w:t>
      </w:r>
      <w:r>
        <w:t xml:space="preserve"> </w:t>
      </w:r>
      <w:r>
        <w:rPr>
          <w:bCs/>
          <w:b/>
        </w:rPr>
        <w:t xml:space="preserve">Buyer pressure</w:t>
      </w:r>
      <w:r>
        <w:t xml:space="preserve"> </w:t>
      </w:r>
      <w:r>
        <w:t xml:space="preserve">and</w:t>
      </w:r>
      <w:r>
        <w:t xml:space="preserve"> </w:t>
      </w:r>
      <w:r>
        <w:rPr>
          <w:bCs/>
          <w:b/>
        </w:rPr>
        <w:t xml:space="preserve">data-appropriation concern</w:t>
      </w:r>
      <w:r>
        <w:t xml:space="preserve"> </w:t>
      </w:r>
      <w:r>
        <w:t xml:space="preserve">are three-item, 7-point scales, averaged after reliability checks; their content was reviewed by [six] industry and academic experts.</w:t>
      </w:r>
    </w:p>
    <w:p>
      <w:pPr>
        <w:pStyle w:val="BodyText"/>
      </w:pPr>
      <w:r>
        <w:t xml:space="preserve">We calibrated raw values into fuzzy-set membership using the direct method (Ragin, 2008), with substantively justified anchors for full membership, the crossover point and full non-membership (Table 1). For example, a firm is fully in the set of</w:t>
      </w:r>
      <w:r>
        <w:t xml:space="preserve"> </w:t>
      </w:r>
      <w:r>
        <w:t xml:space="preserve">“</w:t>
      </w:r>
      <w:r>
        <w:t xml:space="preserve">DPP-ready</w:t>
      </w:r>
      <w:r>
        <w:t xml:space="preserve">”</w:t>
      </w:r>
      <w:r>
        <w:t xml:space="preserve"> </w:t>
      </w:r>
      <w:r>
        <w:t xml:space="preserve">firms when it can supply six or seven categories, and fully out when it can supply one or none. Membership scores of exactly 0.5 were shifted to 0.501 (Fiss, 2011). Anchors were set from substantive knowledge, not from the sample distribution: the readiness anchors reflect the data categories that the textile DPP study expects (European Parliamentary Research Service, 2024), and the integration anchors distinguish garment-only firms from firms that also own fabric and wet processing. The expert panel reviewed all anchors before data collection, and the raw distributions are reported in Online Appendix A so that readers can judge them.</w:t>
      </w:r>
    </w:p>
    <w:p>
      <w:pPr>
        <w:pStyle w:val="BodyText"/>
      </w:pPr>
      <w:r>
        <w:rPr>
          <w:bCs/>
          <w:b/>
        </w:rPr>
        <w:t xml:space="preserve">Table 1.</w:t>
      </w:r>
      <w:r>
        <w:t xml:space="preserve"> </w:t>
      </w:r>
      <w:r>
        <w:t xml:space="preserve">Conditions, outcomes and calibration anchors.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w:t>
            </w:r>
          </w:p>
        </w:tc>
        <w:tc>
          <w:tcPr/>
          <w:p>
            <w:pPr>
              <w:pStyle w:val="Compact"/>
              <w:jc w:val="left"/>
            </w:pPr>
            <w:r>
              <w:t xml:space="preserve">Raw measure</w:t>
            </w:r>
          </w:p>
        </w:tc>
        <w:tc>
          <w:tcPr/>
          <w:p>
            <w:pPr>
              <w:pStyle w:val="Compact"/>
              <w:jc w:val="left"/>
            </w:pPr>
            <w:r>
              <w:t xml:space="preserve">Full out (0.05)</w:t>
            </w:r>
          </w:p>
        </w:tc>
        <w:tc>
          <w:tcPr/>
          <w:p>
            <w:pPr>
              <w:pStyle w:val="Compact"/>
              <w:jc w:val="left"/>
            </w:pPr>
            <w:r>
              <w:t xml:space="preserve">Crossover (0.5)</w:t>
            </w:r>
          </w:p>
        </w:tc>
        <w:tc>
          <w:tcPr/>
          <w:p>
            <w:pPr>
              <w:pStyle w:val="Compact"/>
              <w:jc w:val="left"/>
            </w:pPr>
            <w:r>
              <w:t xml:space="preserve">Full in (0.95)</w:t>
            </w:r>
          </w:p>
        </w:tc>
      </w:tr>
      <w:tr>
        <w:tc>
          <w:tcPr/>
          <w:p>
            <w:pPr>
              <w:pStyle w:val="Compact"/>
              <w:jc w:val="left"/>
            </w:pPr>
            <w:r>
              <w:t xml:space="preserve">DPP readiness (outcome)</w:t>
            </w:r>
          </w:p>
        </w:tc>
        <w:tc>
          <w:tcPr/>
          <w:p>
            <w:pPr>
              <w:pStyle w:val="Compact"/>
              <w:jc w:val="left"/>
            </w:pPr>
            <w:r>
              <w:t xml:space="preserve">Data categories supplied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r>
      <w:tr>
        <w:tc>
          <w:tcPr/>
          <w:p>
            <w:pPr>
              <w:pStyle w:val="Compact"/>
              <w:jc w:val="left"/>
            </w:pPr>
            <w:r>
              <w:t xml:space="preserve">Circular capability (outcome)</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Digital traceability</w:t>
            </w:r>
          </w:p>
        </w:tc>
        <w:tc>
          <w:tcPr/>
          <w:p>
            <w:pPr>
              <w:pStyle w:val="Compact"/>
              <w:jc w:val="left"/>
            </w:pPr>
            <w:r>
              <w:t xml:space="preserve">Practices in place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Vertical integration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r>
      <w:tr>
        <w:tc>
          <w:tcPr/>
          <w:p>
            <w:pPr>
              <w:pStyle w:val="Compact"/>
              <w:jc w:val="left"/>
            </w:pPr>
            <w:r>
              <w:t xml:space="preserve">Multi-tier data sharing</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Buyer pressure</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r>
        <w:tc>
          <w:tcPr/>
          <w:p>
            <w:pPr>
              <w:pStyle w:val="Compact"/>
              <w:jc w:val="left"/>
            </w:pPr>
            <w:r>
              <w:t xml:space="preserve">Data-appropriation concern</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bl>
    <w:bookmarkEnd w:id="30"/>
    <w:bookmarkStart w:id="31" w:name="analysis"/>
    <w:p>
      <w:pPr>
        <w:pStyle w:val="Heading2"/>
      </w:pPr>
      <w:r>
        <w:t xml:space="preserve">Analysis</w:t>
      </w:r>
    </w:p>
    <w:p>
      <w:pPr>
        <w:pStyle w:val="FirstParagraph"/>
      </w:pPr>
      <w:r>
        <w:t xml:space="preserve">Using the QCA package in R (Dusa, 2019), we first tested each condition for necessity (consistency ≥ 0.90; Schneider &amp; Wagemann, 2012). We then built truth tables for high and low readiness, with a frequency threshold of one case, raw consistency ≥ 0.80 and PRI consistency ≥ 0.70 (Greckhamer et al., 2018; Ragin, 2008). We report intermediate solutions based on the directional expectations in P1–P3, distinguishing core from peripheral conditions (Fiss, 2011). For P4, we analysed circular capability with readiness included as a condition, both for all circular practices and for</w:t>
      </w:r>
      <w:r>
        <w:t xml:space="preserve"> </w:t>
      </w:r>
      <w:r>
        <w:rPr>
          <w:iCs/>
          <w:i/>
        </w:rPr>
        <w:t xml:space="preserve">formal</w:t>
      </w:r>
      <w:r>
        <w:t xml:space="preserve"> </w:t>
      </w:r>
      <w:r>
        <w:t xml:space="preserve">practices only (recycled inputs, design-for-recycling, take-back), because informal practices such as selling cutting waste need no product data. With five conditions there are 32 logically possible configurations, and a sample of this size will not cover all of them (limited diversity). We therefore report how many truth-table rows contain cases, and we justify every simplifying assumption made for the intermediate solution against theory, avoiding untenable assumptions about configurations not observed in the sample (Schneider &amp; Wagemann, 2012). Robustness checks varied calibration anchors, the consistency threshold (0.75–0.85) and the frequency threshold, and replaced one condition with sustainability certifications (Online Appendix B).</w:t>
      </w:r>
    </w:p>
    <w:bookmarkEnd w:id="31"/>
    <w:bookmarkEnd w:id="32"/>
    <w:bookmarkStart w:id="33" w:name="results"/>
    <w:p>
      <w:pPr>
        <w:pStyle w:val="Heading1"/>
      </w:pPr>
      <w:r>
        <w:t xml:space="preserve">Results</w:t>
      </w:r>
    </w:p>
    <w:p>
      <w:pPr>
        <w:pStyle w:val="FirstParagraph"/>
      </w:pPr>
      <w:r>
        <w:rPr>
          <w:iCs/>
          <w:i/>
        </w:rPr>
        <w:t xml:space="preserve">[To be completed with the 2026–27 data. The sentences below are templates.]</w:t>
      </w:r>
    </w:p>
    <w:p>
      <w:pPr>
        <w:pStyle w:val="BodyText"/>
      </w:pPr>
      <w:r>
        <w:rPr>
          <w:bCs/>
          <w:b/>
        </w:rPr>
        <w:t xml:space="preserve">Necessity.</w:t>
      </w:r>
      <w:r>
        <w:t xml:space="preserve"> </w:t>
      </w:r>
      <w:r>
        <w:t xml:space="preserve">Digital traceability [passed / did not pass] the necessity test for high readiness (consistency = [ ], coverage = [ ]), [supporting / not supporting] P2. No other condition was necessary.</w:t>
      </w:r>
    </w:p>
    <w:p>
      <w:pPr>
        <w:pStyle w:val="BodyText"/>
      </w:pPr>
      <w:r>
        <w:rPr>
          <w:bCs/>
          <w:b/>
        </w:rPr>
        <w:t xml:space="preserve">Sufficiency for high readiness.</w:t>
      </w:r>
      <w:r>
        <w:t xml:space="preserve"> </w:t>
      </w:r>
      <w:r>
        <w:t xml:space="preserve">The analysis yielded [number] configurations (Table 2), with solution consistency of [ ] and coverage of [ ]. Configuration 1 ([description]) matches the</w:t>
      </w:r>
      <w:r>
        <w:t xml:space="preserve"> </w:t>
      </w:r>
      <w:r>
        <w:rPr>
          <w:iCs/>
          <w:i/>
        </w:rPr>
        <w:t xml:space="preserve">integrated</w:t>
      </w:r>
      <w:r>
        <w:t xml:space="preserve"> </w:t>
      </w:r>
      <w:r>
        <w:t xml:space="preserve">route, and configuration 2 ([description]) the</w:t>
      </w:r>
      <w:r>
        <w:t xml:space="preserve"> </w:t>
      </w:r>
      <w:r>
        <w:rPr>
          <w:iCs/>
          <w:i/>
        </w:rPr>
        <w:t xml:space="preserve">networked</w:t>
      </w:r>
      <w:r>
        <w:t xml:space="preserve"> </w:t>
      </w:r>
      <w:r>
        <w:t xml:space="preserve">route, [supporting / partly supporting] P1. In configuration 2, the absence of data-appropriation concern is a [core / peripheral] condition. A typical case is [firm description and short quote].</w:t>
      </w:r>
    </w:p>
    <w:p>
      <w:pPr>
        <w:pStyle w:val="BodyText"/>
      </w:pPr>
      <w:r>
        <w:rPr>
          <w:bCs/>
          <w:b/>
        </w:rPr>
        <w:t xml:space="preserve">Sufficiency for low readiness.</w:t>
      </w:r>
      <w:r>
        <w:t xml:space="preserve"> </w:t>
      </w:r>
      <w:r>
        <w:t xml:space="preserve">[number] configurations led to low readiness (consistency = [ ], coverage = [ ]). The combination of buyer pressure, data-appropriation concern and low integration [appeared / did not appear], [supporting / not supporting] P3.</w:t>
      </w:r>
    </w:p>
    <w:p>
      <w:pPr>
        <w:pStyle w:val="BodyText"/>
      </w:pPr>
      <w:r>
        <w:rPr>
          <w:bCs/>
          <w:b/>
        </w:rPr>
        <w:t xml:space="preserve">Readiness and circularity.</w:t>
      </w:r>
      <w:r>
        <w:t xml:space="preserve"> </w:t>
      </w:r>
      <w:r>
        <w:t xml:space="preserve">Readiness was [not] sufficient on its own for high circular capability (consistency = [ ]). Circular capability arose only when readiness combined with [conditions], [supporting / not supporting] P4. Results were robust to [list of robustness checks].</w:t>
      </w:r>
    </w:p>
    <w:p>
      <w:pPr>
        <w:pStyle w:val="BodyText"/>
      </w:pPr>
      <w:r>
        <w:rPr>
          <w:bCs/>
          <w:b/>
        </w:rPr>
        <w:t xml:space="preserve">Case illustration.</w:t>
      </w:r>
      <w:r>
        <w:t xml:space="preserve"> </w:t>
      </w:r>
      <w:r>
        <w:t xml:space="preserve">[Two short case vignettes, one per high-readiness route.] For example, [Firm A, a vertically integrated exporter in (cluster)] reached readiness through ownership, while [Firm B, a small knitter] relied on long-standing relationships with two dyehouses that shared chemical and origin data once the buyer agreed to limit how the data would be used. [Firm C] shows the low-readiness pattern: [description].</w:t>
      </w:r>
    </w:p>
    <w:p>
      <w:pPr>
        <w:pStyle w:val="BodyText"/>
      </w:pPr>
      <w:r>
        <w:rPr>
          <w:bCs/>
          <w:b/>
        </w:rPr>
        <w:t xml:space="preserve">Table 2.</w:t>
      </w:r>
      <w:r>
        <w:t xml:space="preserve"> </w:t>
      </w:r>
      <w:r>
        <w:t xml:space="preserve">Configurations for high and low DPP readiness. ● = core condition present; • = peripheral condition present; ⊗ = condition absent (core ⊗, peripheral ⊗ smaller); blank = does not matter.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High 1</w:t>
            </w:r>
          </w:p>
        </w:tc>
        <w:tc>
          <w:tcPr/>
          <w:p>
            <w:pPr>
              <w:pStyle w:val="Compact"/>
              <w:jc w:val="left"/>
            </w:pPr>
            <w:r>
              <w:t xml:space="preserve">High 2</w:t>
            </w:r>
          </w:p>
        </w:tc>
        <w:tc>
          <w:tcPr/>
          <w:p>
            <w:pPr>
              <w:pStyle w:val="Compact"/>
              <w:jc w:val="left"/>
            </w:pPr>
            <w:r>
              <w:t xml:space="preserve">High 3</w:t>
            </w:r>
          </w:p>
        </w:tc>
        <w:tc>
          <w:tcPr/>
          <w:p>
            <w:pPr>
              <w:pStyle w:val="Compact"/>
              <w:jc w:val="left"/>
            </w:pPr>
            <w:r>
              <w:t xml:space="preserve">Low 1</w:t>
            </w:r>
          </w:p>
        </w:tc>
        <w:tc>
          <w:tcPr/>
          <w:p>
            <w:pPr>
              <w:pStyle w:val="Compact"/>
              <w:jc w:val="left"/>
            </w:pPr>
            <w:r>
              <w:t xml:space="preserve">Low 2</w:t>
            </w:r>
          </w:p>
        </w:tc>
      </w:tr>
      <w:tr>
        <w:tc>
          <w:tcPr/>
          <w:p>
            <w:pPr>
              <w:pStyle w:val="Compact"/>
              <w:jc w:val="left"/>
            </w:pPr>
            <w:r>
              <w:t xml:space="preserve">Vertical integration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Digital traceability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Multi-tier data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Buyer pressure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Data-appropriation concern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Raw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Unique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Consistency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Solution coverage / consistency</w:t>
            </w:r>
          </w:p>
        </w:tc>
        <w:tc>
          <w:tcPr/>
          <w:p>
            <w:pPr>
              <w:pStyle w:val="Compact"/>
              <w:jc w:val="left"/>
            </w:pPr>
            <w:r>
              <w:t xml:space="preserve">[ ] / [ ]</w:t>
            </w:r>
          </w:p>
        </w:tc>
        <w:tc>
          <w:tcPr/>
          <w:p>
            <w:pPr>
              <w:pStyle w:val="Compact"/>
            </w:pPr>
          </w:p>
        </w:tc>
        <w:tc>
          <w:tcPr/>
          <w:p>
            <w:pPr>
              <w:pStyle w:val="Compact"/>
            </w:pPr>
          </w:p>
        </w:tc>
        <w:tc>
          <w:tcPr/>
          <w:p>
            <w:pPr>
              <w:pStyle w:val="Compact"/>
              <w:jc w:val="left"/>
            </w:pPr>
            <w:r>
              <w:t xml:space="preserve">[ ] / [ ]</w:t>
            </w:r>
          </w:p>
        </w:tc>
        <w:tc>
          <w:tcPr/>
          <w:p>
            <w:pPr>
              <w:pStyle w:val="Compact"/>
            </w:pPr>
          </w:p>
        </w:tc>
      </w:tr>
    </w:tbl>
    <w:bookmarkEnd w:id="33"/>
    <w:bookmarkStart w:id="38" w:name="discussion"/>
    <w:p>
      <w:pPr>
        <w:pStyle w:val="Heading1"/>
      </w:pPr>
      <w:r>
        <w:t xml:space="preserve">Discussion</w:t>
      </w:r>
    </w:p>
    <w:bookmarkStart w:id="34" w:name="theoretical-implications"/>
    <w:p>
      <w:pPr>
        <w:pStyle w:val="Heading2"/>
      </w:pPr>
      <w:r>
        <w:t xml:space="preserve">Theoretical Implications</w:t>
      </w:r>
    </w:p>
    <w:p>
      <w:pPr>
        <w:pStyle w:val="FirstParagraph"/>
      </w:pPr>
      <w:r>
        <w:t xml:space="preserve">First, the study moves OIPT from asking whether capacity</w:t>
      </w:r>
      <w:r>
        <w:t xml:space="preserve"> </w:t>
      </w:r>
      <w:r>
        <w:rPr>
          <w:iCs/>
          <w:i/>
        </w:rPr>
        <w:t xml:space="preserve">fits</w:t>
      </w:r>
      <w:r>
        <w:t xml:space="preserve"> </w:t>
      </w:r>
      <w:r>
        <w:t xml:space="preserve">requirements to asking</w:t>
      </w:r>
      <w:r>
        <w:t xml:space="preserve"> </w:t>
      </w:r>
      <w:r>
        <w:rPr>
          <w:iCs/>
          <w:i/>
        </w:rPr>
        <w:t xml:space="preserve">which combinations</w:t>
      </w:r>
      <w:r>
        <w:t xml:space="preserve"> </w:t>
      </w:r>
      <w:r>
        <w:t xml:space="preserve">produce fit under externally imposed, multi-tier requirements. Galbraith’s (1974) design alternatives become empirically visible routes: suppliers can own their information or negotiate for it, but either route needs digital capture. Second, data-appropriation concern explains why buyer pressure, the main lever brands use, can fail: pressure creates readiness only where suppliers trust how their data will be used (Fawcett et al., 2007; Gualandris et al., 2021). Third, the decoupling test speaks to the supply chain transparency literature (Montecchi et al., 2021; Sodhi &amp; Tang, 2019). If readiness is not sufficient for circular capability, the passport risks becoming traceability without circularity: compliance data that sit in a registry while material still flows to landfill. Fourth, the findings clarify a design trade-off. Building passport capacity consumes managerial attention and capital that small exporters would otherwise spend on cost, speed and quality. Equifinality means there is more than one way to pay that price, and firms can choose the route that fits their structure.</w:t>
      </w:r>
    </w:p>
    <w:bookmarkEnd w:id="34"/>
    <w:bookmarkStart w:id="35"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There is more than one route to a passport.</w:t>
      </w:r>
      <w:r>
        <w:t xml:space="preserve"> </w:t>
      </w:r>
      <w:r>
        <w:t xml:space="preserve">Integrated firms can build on ownership of their stages; smaller firms can get there through partnerships with upstream suppliers. Both routes need digital capture of the data.</w:t>
      </w:r>
    </w:p>
    <w:p>
      <w:pPr>
        <w:numPr>
          <w:ilvl w:val="0"/>
          <w:numId w:val="1001"/>
        </w:numPr>
        <w:pStyle w:val="Compact"/>
      </w:pPr>
      <w:r>
        <w:rPr>
          <w:bCs/>
          <w:b/>
        </w:rPr>
        <w:t xml:space="preserve">Map before you buy.</w:t>
      </w:r>
      <w:r>
        <w:t xml:space="preserve"> </w:t>
      </w:r>
      <w:r>
        <w:t xml:space="preserve">Identify which tier holds each passport data field before investing in a platform. Software alone [did not] produce readiness in our data.</w:t>
      </w:r>
    </w:p>
    <w:p>
      <w:pPr>
        <w:numPr>
          <w:ilvl w:val="0"/>
          <w:numId w:val="1001"/>
        </w:numPr>
        <w:pStyle w:val="Compact"/>
      </w:pPr>
      <w:r>
        <w:rPr>
          <w:bCs/>
          <w:b/>
        </w:rPr>
        <w:t xml:space="preserve">Fix trust before technology.</w:t>
      </w:r>
      <w:r>
        <w:t xml:space="preserve"> </w:t>
      </w:r>
      <w:r>
        <w:t xml:space="preserve">Where suppliers fear their data will be misused, buyer pressure [backfired]. Brands that limit how they use supplier data, share verification costs or pay for verified data will get better passports.</w:t>
      </w:r>
    </w:p>
    <w:p>
      <w:pPr>
        <w:numPr>
          <w:ilvl w:val="0"/>
          <w:numId w:val="1001"/>
        </w:numPr>
        <w:pStyle w:val="Compact"/>
      </w:pPr>
      <w:r>
        <w:rPr>
          <w:bCs/>
          <w:b/>
        </w:rPr>
        <w:t xml:space="preserve">Use the data, not just file it.</w:t>
      </w:r>
      <w:r>
        <w:t xml:space="preserve"> </w:t>
      </w:r>
      <w:r>
        <w:t xml:space="preserve">Readiness led to circular capability [only when combined with …].</w:t>
      </w:r>
    </w:p>
    <w:bookmarkEnd w:id="35"/>
    <w:bookmarkStart w:id="36" w:name="policy-implications"/>
    <w:p>
      <w:pPr>
        <w:pStyle w:val="Heading2"/>
      </w:pPr>
      <w:r>
        <w:t xml:space="preserve">Policy Implications</w:t>
      </w:r>
    </w:p>
    <w:p>
      <w:pPr>
        <w:pStyle w:val="FirstParagraph"/>
      </w:pPr>
      <w:r>
        <w:t xml:space="preserve">The passport shifts information-processing costs upstream, to the actors least able to bear them. If the networked route depends on trust and digital capture that small sub-suppliers cannot provide alone, the passport could concentrate EU sourcing among large, vertically integrated exporters. Two levers follow. First, shared data infrastructure, such as cluster-level traceability platforms in Tiruppur or Ludhiana run by industry associations, lowers the fixed cost of digital capture. Second, enforceable data-use safeguards, built into the passport’s access rights or into the EU–India agreement’s sustainability chapter, lower appropriation concern.</w:t>
      </w:r>
    </w:p>
    <w:bookmarkEnd w:id="36"/>
    <w:bookmarkStart w:id="37" w:name="limitations-and-future-research"/>
    <w:p>
      <w:pPr>
        <w:pStyle w:val="Heading2"/>
      </w:pPr>
      <w:r>
        <w:t xml:space="preserve">Limitations and Future Research</w:t>
      </w:r>
    </w:p>
    <w:p>
      <w:pPr>
        <w:pStyle w:val="FirstParagraph"/>
      </w:pPr>
      <w:r>
        <w:t xml:space="preserve">fsQCA identifies set relations, not net effects, and our cross-sectional data support configurational rather than causal claims. The purposive sample of [N] firms supports analytical, not statistical, generalisation. Readiness is measured before the delegated act fixes the data fields. Our configurations are also a starting point for larger-sample tests: each route implies interaction effects that a regression or structural model could estimate across a wider population. Future research should revisit these firms once the passport is mandatory, extend the analysis to Bangladesh, Vietnam and Türkiye, and test the routes we identify with larger samples.</w:t>
      </w:r>
    </w:p>
    <w:bookmarkEnd w:id="37"/>
    <w:bookmarkEnd w:id="38"/>
    <w:bookmarkStart w:id="39" w:name="conclusion"/>
    <w:p>
      <w:pPr>
        <w:pStyle w:val="Heading1"/>
      </w:pPr>
      <w:r>
        <w:t xml:space="preserve">Conclusion</w:t>
      </w:r>
    </w:p>
    <w:p>
      <w:pPr>
        <w:pStyle w:val="FirstParagraph"/>
      </w:pPr>
      <w:r>
        <w:t xml:space="preserve">The Digital Product Passport is a supply chain design decision disguised as a compliance requirement. There is no single route to readiness, and the configurations that work depend on how a supplier is structured and whom it trusts. Our study shows [one-sentence headline finding] and points to where firms and governments should invest first.</w:t>
      </w:r>
    </w:p>
    <w:bookmarkEnd w:id="39"/>
    <w:bookmarkStart w:id="40"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Dusa, A. (2019).</w:t>
      </w:r>
      <w:r>
        <w:t xml:space="preserve"> </w:t>
      </w:r>
      <w:r>
        <w:rPr>
          <w:iCs/>
          <w:i/>
        </w:rPr>
        <w:t xml:space="preserve">QCA with R: A comprehensive resource</w:t>
      </w:r>
      <w:r>
        <w:t xml:space="preserve">. Springer.</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Fiss, P. C. (2011). Building better causal theories: A fuzzy set approach to typologies in organization research.</w:t>
      </w:r>
      <w:r>
        <w:t xml:space="preserve"> </w:t>
      </w:r>
      <w:r>
        <w:rPr>
          <w:iCs/>
          <w:i/>
        </w:rPr>
        <w:t xml:space="preserve">Academy of Management Journal, 54</w:t>
      </w:r>
      <w:r>
        <w:t xml:space="preserve">(2), 393–420.</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Greckhamer, T., Furnari, S., Fiss, P. C., &amp; Aguilera, R. V. (2018). Studying configurations with qualitative comparative analysis: Best practices in strategy and organization research.</w:t>
      </w:r>
      <w:r>
        <w:t xml:space="preserve"> </w:t>
      </w:r>
      <w:r>
        <w:rPr>
          <w:iCs/>
          <w:i/>
        </w:rPr>
        <w:t xml:space="preserve">Strategic Organization, 16</w:t>
      </w:r>
      <w:r>
        <w:t xml:space="preserve">(4), 482–495.</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Misangyi, V. F., Greckhamer, T., Furnari, S., Fiss, P. C., Crilly, D., &amp; Aguilera, R. (2017). Embracing causal complexity: The emergence of a neo-configurational perspective.</w:t>
      </w:r>
      <w:r>
        <w:t xml:space="preserve"> </w:t>
      </w:r>
      <w:r>
        <w:rPr>
          <w:iCs/>
          <w:i/>
        </w:rPr>
        <w:t xml:space="preserve">Journal of Management, 43</w:t>
      </w:r>
      <w:r>
        <w:t xml:space="preserve">(1), 255–282.</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Ragin, C. C. (2008).</w:t>
      </w:r>
      <w:r>
        <w:t xml:space="preserve"> </w:t>
      </w:r>
      <w:r>
        <w:rPr>
          <w:iCs/>
          <w:i/>
        </w:rPr>
        <w:t xml:space="preserve">Redesigning social inquiry: Fuzzy sets and beyond</w:t>
      </w:r>
      <w:r>
        <w:t xml:space="preserve">. University of Chicago Press.</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Schneider, C. Q., &amp; Wagemann, C. (2012).</w:t>
      </w:r>
      <w:r>
        <w:t xml:space="preserve"> </w:t>
      </w:r>
      <w:r>
        <w:rPr>
          <w:iCs/>
          <w:i/>
        </w:rPr>
        <w:t xml:space="preserve">Set-theoretic methods for the social sciences: A guide to qualitative comparative analysis</w:t>
      </w:r>
      <w:r>
        <w:t xml:space="preserve">. Cambridge University Press.</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Configurations of Supplier Capacity for Digital Product Passport Readiness and Circularity in Indian Apparel Exports</dc:title>
  <dc:creator/>
  <cp:keywords/>
  <dcterms:created xsi:type="dcterms:W3CDTF">2026-10-25T19:39:51Z</dcterms:created>
  <dcterms:modified xsi:type="dcterms:W3CDTF">2026-10-25T19:39:51Z</dcterms:modified>
</cp:coreProperties>
</file>

<file path=docProps/custom.xml><?xml version="1.0" encoding="utf-8"?>
<Properties xmlns="http://schemas.openxmlformats.org/officeDocument/2006/custom-properties" xmlns:vt="http://schemas.openxmlformats.org/officeDocument/2006/docPropsVTypes"/>
</file>