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ILLUSTRATIVE VERSION.</w:t>
      </w:r>
      <w:r>
        <w:t xml:space="preserve"> </w:t>
      </w:r>
      <w:r>
        <w:t xml:space="preserve">All results below come from</w:t>
      </w:r>
      <w:r>
        <w:t xml:space="preserve"> </w:t>
      </w:r>
      <w:r>
        <w:rPr>
          <w:iCs/>
          <w:i/>
        </w:rPr>
        <w:t xml:space="preserve">simulated</w:t>
      </w:r>
      <w:r>
        <w:t xml:space="preserve"> </w:t>
      </w:r>
      <w:r>
        <w:t xml:space="preserve">responses for 50 fictional firms (</w:t>
      </w:r>
      <w:r>
        <w:rPr>
          <w:rStyle w:val="VerbatimChar"/>
        </w:rPr>
        <w:t xml:space="preserve">data/SIMULATED_responses.csv</w:t>
      </w:r>
      <w:r>
        <w:t xml:space="preserve">; assumptions in</w:t>
      </w:r>
      <w:r>
        <w:t xml:space="preserve"> </w:t>
      </w:r>
      <w:r>
        <w:rPr>
          <w:rStyle w:val="VerbatimChar"/>
        </w:rPr>
        <w:t xml:space="preserve">simulation/SIMULATION_ASSUMPTIONS.md</w:t>
      </w:r>
      <w:r>
        <w:t xml:space="preserve">). They show how the paper will read and what the analysis produces. They are</w:t>
      </w:r>
      <w:r>
        <w:t xml:space="preserve"> </w:t>
      </w:r>
      <w:r>
        <w:rPr>
          <w:bCs/>
          <w:b/>
        </w:rPr>
        <w:t xml:space="preserve">not findings</w:t>
      </w:r>
      <w:r>
        <w:t xml:space="preserve">. Replace the data, rerun</w:t>
      </w:r>
      <w:r>
        <w:t xml:space="preserve"> </w:t>
      </w:r>
      <w:r>
        <w:rPr>
          <w:rStyle w:val="VerbatimChar"/>
        </w:rPr>
        <w:t xml:space="preserve">analysis/fsqca.py</w:t>
      </w:r>
      <w:r>
        <w:t xml:space="preserve">, and rewrite the Results and Discussion from the real output before any use.</w:t>
      </w: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and that buyer pressure works only when suppliers do not fear their data will be used against them. Using fuzzy-set qualitative comparative analysis (fsQCA) of 50 Indian textile and apparel exporters, we find two routes to high passport readiness. In the</w:t>
      </w:r>
      <w:r>
        <w:t xml:space="preserve"> </w:t>
      </w:r>
      <w:r>
        <w:rPr>
          <w:iCs/>
          <w:i/>
        </w:rPr>
        <w:t xml:space="preserve">integrated</w:t>
      </w:r>
      <w:r>
        <w:t xml:space="preserve"> </w:t>
      </w:r>
      <w:r>
        <w:t xml:space="preserve">route, firms own their upstream stages and capture data digitally; in the</w:t>
      </w:r>
      <w:r>
        <w:t xml:space="preserve"> </w:t>
      </w:r>
      <w:r>
        <w:rPr>
          <w:iCs/>
          <w:i/>
        </w:rPr>
        <w:t xml:space="preserve">networked</w:t>
      </w:r>
      <w:r>
        <w:t xml:space="preserve"> </w:t>
      </w:r>
      <w:r>
        <w:t xml:space="preserve">route, independent sub-suppliers share data with buyer backing. Low readiness combines missing capacity with appropriation concern, whatever the level of buyer pressure. Readiness is not sufficient for formal circular practices. We develop an</w:t>
      </w:r>
      <w:r>
        <w:t xml:space="preserve"> </w:t>
      </w:r>
      <w:r>
        <w:t xml:space="preserve">“</w:t>
      </w:r>
      <w:r>
        <w:t xml:space="preserve">owned, negotiated or borrowed</w:t>
      </w:r>
      <w:r>
        <w:t xml:space="preserve">”</w:t>
      </w:r>
      <w:r>
        <w:t xml:space="preserve"> </w:t>
      </w:r>
      <w:r>
        <w:t xml:space="preserve">theory of supplier information capacity and draw implications for brands, suppliers and EU–India policy.</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50 firms (17 in Tiruppur/Coimbatore, 11 in NCR, 8 in Ludhiana, 6 in Bengaluru, 5 in Panipat and 3 elsewhere; 46 garment or home-textile makers and 4 mills; median 641 employees).</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from the fieldwork log; not simulated]%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t xml:space="preserve">Cronbach’s α was 0.79 for buyer pressure and 0.87 for appropriation concern. Fourteen of the 32 truth-table rows contained cases.</w:t>
      </w:r>
    </w:p>
    <w:p>
      <w:pPr>
        <w:pStyle w:val="BodyText"/>
      </w:pPr>
      <w:r>
        <w:rPr>
          <w:bCs/>
          <w:b/>
        </w:rPr>
        <w:t xml:space="preserve">Necessity.</w:t>
      </w:r>
      <w:r>
        <w:t xml:space="preserve"> </w:t>
      </w:r>
      <w:r>
        <w:t xml:space="preserve">No condition was necessary for high readiness. Digital traceability came closest (consistency = 0.894) but fell just short of 0.90, so P2 is not supported. Buyer pressure passed the consistency threshold (0.939) but was trivial (RoN = 0.444): 82% of firms faced strong pressure, ready and unready alike.</w:t>
      </w:r>
    </w:p>
    <w:p>
      <w:pPr>
        <w:pStyle w:val="BodyText"/>
      </w:pPr>
      <w:r>
        <w:rPr>
          <w:bCs/>
          <w:b/>
        </w:rPr>
        <w:t xml:space="preserve">Sufficiency for high readiness.</w:t>
      </w:r>
      <w:r>
        <w:t xml:space="preserve"> </w:t>
      </w:r>
      <w:r>
        <w:t xml:space="preserve">Three configurations were sufficient (Table 2; solution consistency = 0.924, coverage = 0.766). H1 is the</w:t>
      </w:r>
      <w:r>
        <w:t xml:space="preserve"> </w:t>
      </w:r>
      <w:r>
        <w:rPr>
          <w:iCs/>
          <w:i/>
        </w:rPr>
        <w:t xml:space="preserve">integrated</w:t>
      </w:r>
      <w:r>
        <w:t xml:space="preserve"> </w:t>
      </w:r>
      <w:r>
        <w:t xml:space="preserve">route: vertical integration and digital traceability are core (consistency = 0.982). H2a and H2b form the</w:t>
      </w:r>
      <w:r>
        <w:t xml:space="preserve"> </w:t>
      </w:r>
      <w:r>
        <w:rPr>
          <w:iCs/>
          <w:i/>
        </w:rPr>
        <w:t xml:space="preserve">networked</w:t>
      </w:r>
      <w:r>
        <w:t xml:space="preserve"> </w:t>
      </w:r>
      <w:r>
        <w:t xml:space="preserve">route: multi-tier data sharing and buyer pressure are core, supported either by low appropriation concern or by digital traceability as peripheral conditions. P1 is supported, with a qualification: in the networked route, digital capture was peripheral, not essential.</w:t>
      </w:r>
    </w:p>
    <w:p>
      <w:pPr>
        <w:pStyle w:val="BodyText"/>
      </w:pPr>
      <w:r>
        <w:rPr>
          <w:bCs/>
          <w:b/>
        </w:rPr>
        <w:t xml:space="preserve">Sufficiency for low readiness.</w:t>
      </w:r>
      <w:r>
        <w:t xml:space="preserve"> </w:t>
      </w:r>
      <w:r>
        <w:t xml:space="preserve">Two configurations explained low readiness (consistency = 0.940, coverage = 0.566). In L1, missing traceability and appropriation concern are core, and buyer pressure does not matter: firms fail whether or not buyers push. L2 is the unpressured traditional exporter. P3 is partly supported: appropriation concern drives failure, but pressure need not be present.</w:t>
      </w:r>
    </w:p>
    <w:p>
      <w:pPr>
        <w:pStyle w:val="BodyText"/>
      </w:pPr>
      <w:r>
        <w:rPr>
          <w:bCs/>
          <w:b/>
        </w:rPr>
        <w:t xml:space="preserve">Readiness and circularity.</w:t>
      </w:r>
      <w:r>
        <w:t xml:space="preserve"> </w:t>
      </w:r>
      <w:r>
        <w:t xml:space="preserve">For overall circular capability, readiness combined with certification was sufficient (consistency = 0.856), but five ready firms, mostly networked SMEs, were not circular. Separating the measure explained why. Informal practices, such as selling cutting waste and reselling export surplus, were common in every group. For</w:t>
      </w:r>
      <w:r>
        <w:t xml:space="preserve"> </w:t>
      </w:r>
      <w:r>
        <w:rPr>
          <w:iCs/>
          <w:i/>
        </w:rPr>
        <w:t xml:space="preserve">formal</w:t>
      </w:r>
      <w:r>
        <w:t xml:space="preserve"> </w:t>
      </w:r>
      <w:r>
        <w:t xml:space="preserve">circularity (recycled inputs, design-for-recycling, take-back), readiness alone reached a consistency of only 0.519, and no configuration was sufficient. P4 is supported for formal circularity.</w:t>
      </w:r>
    </w:p>
    <w:p>
      <w:pPr>
        <w:pStyle w:val="BodyText"/>
      </w:pPr>
      <w:r>
        <w:rPr>
          <w:bCs/>
          <w:b/>
        </w:rPr>
        <w:t xml:space="preserve">Robustness.</w:t>
      </w:r>
      <w:r>
        <w:t xml:space="preserve"> </w:t>
      </w:r>
      <w:r>
        <w:t xml:space="preserve">Both routes survived changes to anchors, thresholds and sample (Online Appendix B). When certifications replaced buyer pressure, certification entered three of four configurations, including VI•CERT•~DAC and MDS•CERT•~DAC.</w:t>
      </w:r>
    </w:p>
    <w:p>
      <w:pPr>
        <w:pStyle w:val="BodyText"/>
      </w:pPr>
      <w:r>
        <w:rPr>
          <w:bCs/>
          <w:b/>
        </w:rPr>
        <w:t xml:space="preserve">Case illustration.</w:t>
      </w:r>
      <w:r>
        <w:t xml:space="preserve"> </w:t>
      </w:r>
      <w:r>
        <w:t xml:space="preserve">A networked knitter explained that its dyehouses</w:t>
      </w:r>
      <w:r>
        <w:t xml:space="preserve"> </w:t>
      </w:r>
      <w:r>
        <w:t xml:space="preserve">“</w:t>
      </w:r>
      <w:r>
        <w:t xml:space="preserve">gave everything</w:t>
      </w:r>
      <w:r>
        <w:t xml:space="preserve">”</w:t>
      </w:r>
      <w:r>
        <w:t xml:space="preserve"> </w:t>
      </w:r>
      <w:r>
        <w:t xml:space="preserve">once</w:t>
      </w:r>
      <w:r>
        <w:t xml:space="preserve"> </w:t>
      </w:r>
      <w:r>
        <w:t xml:space="preserve">“</w:t>
      </w:r>
      <w:r>
        <w:t xml:space="preserve">the buyer agreed not to contact our dyehouse directly</w:t>
      </w:r>
      <w:r>
        <w:t xml:space="preserve">”</w:t>
      </w:r>
      <w:r>
        <w:t xml:space="preserve">. A subcontractor-dependent NCR exporter, by contrast, gave</w:t>
      </w:r>
      <w:r>
        <w:t xml:space="preserve"> </w:t>
      </w:r>
      <w:r>
        <w:t xml:space="preserve">“</w:t>
      </w:r>
      <w:r>
        <w:t xml:space="preserve">partial information only</w:t>
      </w:r>
      <w:r>
        <w:t xml:space="preserve">”</w:t>
      </w:r>
      <w:r>
        <w:t xml:space="preserve"> </w:t>
      </w:r>
      <w:r>
        <w:t xml:space="preserve">because</w:t>
      </w:r>
      <w:r>
        <w:t xml:space="preserve"> </w:t>
      </w:r>
      <w:r>
        <w:t xml:space="preserve">“</w:t>
      </w:r>
      <w:r>
        <w:t xml:space="preserve">the buyer will go direct next season</w:t>
      </w:r>
      <w:r>
        <w:t xml:space="preserve">”</w:t>
      </w:r>
      <w:r>
        <w:t xml:space="preserve">. A Panipat recycler noted that</w:t>
      </w:r>
      <w:r>
        <w:t xml:space="preserve"> </w:t>
      </w:r>
      <w:r>
        <w:t xml:space="preserve">“</w:t>
      </w:r>
      <w:r>
        <w:t xml:space="preserve">GRS needs transaction certificates at every step, so recycled content and origin are already documented</w:t>
      </w:r>
      <w:r>
        <w:t xml:space="preserve">”</w:t>
      </w:r>
      <w:r>
        <w:t xml:space="preserve">.</w:t>
      </w:r>
      <w:r>
        <w:t xml:space="preserve"> </w:t>
      </w:r>
      <w:r>
        <w:rPr>
          <w:iCs/>
          <w:i/>
        </w:rPr>
        <w:t xml:space="preserve">(Quotes are from simulated case notes.)</w:t>
      </w:r>
    </w:p>
    <w:p>
      <w:pPr>
        <w:pStyle w:val="BodyText"/>
      </w:pPr>
      <w:r>
        <w:rPr>
          <w:bCs/>
          <w:b/>
        </w:rPr>
        <w:t xml:space="preserve">Table 2.</w:t>
      </w:r>
      <w:r>
        <w:t xml:space="preserve"> </w:t>
      </w:r>
      <w:r>
        <w:t xml:space="preserve">Configurations for high and low DPP readiness (SIMULATED). ● = core present; • = peripheral present; ⊗ = core absent; ⊘ = peripheral absent; blank = does not matter.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H1 Integrated</w:t>
            </w:r>
          </w:p>
        </w:tc>
        <w:tc>
          <w:tcPr/>
          <w:p>
            <w:pPr>
              <w:pStyle w:val="Compact"/>
              <w:jc w:val="left"/>
            </w:pPr>
            <w:r>
              <w:t xml:space="preserve">H2a Networked (trust)</w:t>
            </w:r>
          </w:p>
        </w:tc>
        <w:tc>
          <w:tcPr/>
          <w:p>
            <w:pPr>
              <w:pStyle w:val="Compact"/>
              <w:jc w:val="left"/>
            </w:pPr>
            <w:r>
              <w:t xml:space="preserve">H2b Networked (digital)</w:t>
            </w:r>
          </w:p>
        </w:tc>
        <w:tc>
          <w:tcPr/>
          <w:p>
            <w:pPr>
              <w:pStyle w:val="Compact"/>
              <w:jc w:val="left"/>
            </w:pPr>
            <w:r>
              <w:t xml:space="preserve">L1 Pressure under suspicion</w:t>
            </w:r>
          </w:p>
        </w:tc>
        <w:tc>
          <w:tcPr/>
          <w:p>
            <w:pPr>
              <w:pStyle w:val="Compact"/>
              <w:jc w:val="left"/>
            </w:pPr>
            <w:r>
              <w:t xml:space="preserve">L2 Unpressured</w:t>
            </w:r>
          </w:p>
        </w:tc>
      </w:tr>
      <w:tr>
        <w:tc>
          <w:tcPr/>
          <w:p>
            <w:pPr>
              <w:pStyle w:val="Compact"/>
              <w:jc w:val="left"/>
            </w:pPr>
            <w:r>
              <w:t xml:space="preserve">Vertical integration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Digital traceability</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Multi-tier data sharing</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Buyer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Data-appropriation concern</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Consistency</w:t>
            </w:r>
          </w:p>
        </w:tc>
        <w:tc>
          <w:tcPr/>
          <w:p>
            <w:pPr>
              <w:pStyle w:val="Compact"/>
              <w:jc w:val="left"/>
            </w:pPr>
            <w:r>
              <w:t xml:space="preserve">0.982</w:t>
            </w:r>
          </w:p>
        </w:tc>
        <w:tc>
          <w:tcPr/>
          <w:p>
            <w:pPr>
              <w:pStyle w:val="Compact"/>
              <w:jc w:val="left"/>
            </w:pPr>
            <w:r>
              <w:t xml:space="preserve">0.933</w:t>
            </w:r>
          </w:p>
        </w:tc>
        <w:tc>
          <w:tcPr/>
          <w:p>
            <w:pPr>
              <w:pStyle w:val="Compact"/>
              <w:jc w:val="left"/>
            </w:pPr>
            <w:r>
              <w:t xml:space="preserve">0.956</w:t>
            </w:r>
          </w:p>
        </w:tc>
        <w:tc>
          <w:tcPr/>
          <w:p>
            <w:pPr>
              <w:pStyle w:val="Compact"/>
              <w:jc w:val="left"/>
            </w:pPr>
            <w:r>
              <w:t xml:space="preserve">0.949</w:t>
            </w:r>
          </w:p>
        </w:tc>
        <w:tc>
          <w:tcPr/>
          <w:p>
            <w:pPr>
              <w:pStyle w:val="Compact"/>
              <w:jc w:val="left"/>
            </w:pPr>
            <w:r>
              <w:t xml:space="preserve">0.957</w:t>
            </w:r>
          </w:p>
        </w:tc>
      </w:tr>
      <w:tr>
        <w:tc>
          <w:tcPr/>
          <w:p>
            <w:pPr>
              <w:pStyle w:val="Compact"/>
              <w:jc w:val="left"/>
            </w:pPr>
            <w:r>
              <w:t xml:space="preserve">Raw coverage</w:t>
            </w:r>
          </w:p>
        </w:tc>
        <w:tc>
          <w:tcPr/>
          <w:p>
            <w:pPr>
              <w:pStyle w:val="Compact"/>
              <w:jc w:val="left"/>
            </w:pPr>
            <w:r>
              <w:t xml:space="preserve">0.527</w:t>
            </w:r>
          </w:p>
        </w:tc>
        <w:tc>
          <w:tcPr/>
          <w:p>
            <w:pPr>
              <w:pStyle w:val="Compact"/>
              <w:jc w:val="left"/>
            </w:pPr>
            <w:r>
              <w:t xml:space="preserve">0.648</w:t>
            </w:r>
          </w:p>
        </w:tc>
        <w:tc>
          <w:tcPr/>
          <w:p>
            <w:pPr>
              <w:pStyle w:val="Compact"/>
              <w:jc w:val="left"/>
            </w:pPr>
            <w:r>
              <w:t xml:space="preserve">0.630</w:t>
            </w:r>
          </w:p>
        </w:tc>
        <w:tc>
          <w:tcPr/>
          <w:p>
            <w:pPr>
              <w:pStyle w:val="Compact"/>
              <w:jc w:val="left"/>
            </w:pPr>
            <w:r>
              <w:t xml:space="preserve">0.478</w:t>
            </w:r>
          </w:p>
        </w:tc>
        <w:tc>
          <w:tcPr/>
          <w:p>
            <w:pPr>
              <w:pStyle w:val="Compact"/>
              <w:jc w:val="left"/>
            </w:pPr>
            <w:r>
              <w:t xml:space="preserve">0.299</w:t>
            </w:r>
          </w:p>
        </w:tc>
      </w:tr>
      <w:tr>
        <w:tc>
          <w:tcPr/>
          <w:p>
            <w:pPr>
              <w:pStyle w:val="Compact"/>
              <w:jc w:val="left"/>
            </w:pPr>
            <w:r>
              <w:t xml:space="preserve">Unique coverage</w:t>
            </w:r>
          </w:p>
        </w:tc>
        <w:tc>
          <w:tcPr/>
          <w:p>
            <w:pPr>
              <w:pStyle w:val="Compact"/>
              <w:jc w:val="left"/>
            </w:pPr>
            <w:r>
              <w:t xml:space="preserve">0.093</w:t>
            </w:r>
          </w:p>
        </w:tc>
        <w:tc>
          <w:tcPr/>
          <w:p>
            <w:pPr>
              <w:pStyle w:val="Compact"/>
              <w:jc w:val="left"/>
            </w:pPr>
            <w:r>
              <w:t xml:space="preserve">0.043</w:t>
            </w:r>
          </w:p>
        </w:tc>
        <w:tc>
          <w:tcPr/>
          <w:p>
            <w:pPr>
              <w:pStyle w:val="Compact"/>
              <w:jc w:val="left"/>
            </w:pPr>
            <w:r>
              <w:t xml:space="preserve">0.025</w:t>
            </w:r>
          </w:p>
        </w:tc>
        <w:tc>
          <w:tcPr/>
          <w:p>
            <w:pPr>
              <w:pStyle w:val="Compact"/>
              <w:jc w:val="left"/>
            </w:pPr>
            <w:r>
              <w:t xml:space="preserve">0.267</w:t>
            </w:r>
          </w:p>
        </w:tc>
        <w:tc>
          <w:tcPr/>
          <w:p>
            <w:pPr>
              <w:pStyle w:val="Compact"/>
              <w:jc w:val="left"/>
            </w:pPr>
            <w:r>
              <w:t xml:space="preserve">0.087</w:t>
            </w:r>
          </w:p>
        </w:tc>
      </w:tr>
      <w:tr>
        <w:tc>
          <w:tcPr/>
          <w:p>
            <w:pPr>
              <w:pStyle w:val="Compact"/>
              <w:jc w:val="left"/>
            </w:pPr>
            <w:r>
              <w:t xml:space="preserve">Solution consistency / coverage</w:t>
            </w:r>
          </w:p>
        </w:tc>
        <w:tc>
          <w:tcPr/>
          <w:p>
            <w:pPr>
              <w:pStyle w:val="Compact"/>
              <w:jc w:val="left"/>
            </w:pPr>
            <w:r>
              <w:t xml:space="preserve">0.924 / 0.766</w:t>
            </w:r>
          </w:p>
        </w:tc>
        <w:tc>
          <w:tcPr/>
          <w:p>
            <w:pPr>
              <w:pStyle w:val="Compact"/>
            </w:pPr>
          </w:p>
        </w:tc>
        <w:tc>
          <w:tcPr/>
          <w:p>
            <w:pPr>
              <w:pStyle w:val="Compact"/>
            </w:pPr>
          </w:p>
        </w:tc>
        <w:tc>
          <w:tcPr/>
          <w:p>
            <w:pPr>
              <w:pStyle w:val="Compact"/>
              <w:jc w:val="left"/>
            </w:pPr>
            <w:r>
              <w:t xml:space="preserve">0.940 / 0.566</w:t>
            </w:r>
          </w:p>
        </w:tc>
        <w:tc>
          <w:tcPr/>
          <w:p>
            <w:pPr>
              <w:pStyle w:val="Compact"/>
            </w:pPr>
          </w:p>
        </w:tc>
      </w:tr>
    </w:tbl>
    <w:bookmarkEnd w:id="33"/>
    <w:bookmarkStart w:id="37" w:name="discussion-owned-negotiated-or-borrowed"/>
    <w:p>
      <w:pPr>
        <w:pStyle w:val="Heading1"/>
      </w:pPr>
      <w:r>
        <w:t xml:space="preserve">Discussion: Owned, Negotiated or Borrowed</w:t>
      </w:r>
    </w:p>
    <w:p>
      <w:pPr>
        <w:pStyle w:val="FirstParagraph"/>
      </w:pPr>
      <w:r>
        <w:t xml:space="preserve">From the supplier side the DPP looks chaotic: every exporter faces the same pressure, yet similar-looking firms end up on opposite sides of the readiness line. Our configurations make sense of this through three ideas.</w:t>
      </w:r>
    </w:p>
    <w:p>
      <w:pPr>
        <w:pStyle w:val="BodyText"/>
      </w:pPr>
      <w:r>
        <w:rPr>
          <w:bCs/>
          <w:b/>
        </w:rPr>
        <w:t xml:space="preserve">First, readiness is about access to upstream data, not about technology.</w:t>
      </w:r>
      <w:r>
        <w:t xml:space="preserve"> </w:t>
      </w:r>
      <w:r>
        <w:t xml:space="preserve">Every sufficient configuration contains a way of reaching upstream data. Digital traceability was core only where the firm</w:t>
      </w:r>
      <w:r>
        <w:t xml:space="preserve"> </w:t>
      </w:r>
      <w:r>
        <w:rPr>
          <w:iCs/>
          <w:i/>
        </w:rPr>
        <w:t xml:space="preserve">owned</w:t>
      </w:r>
      <w:r>
        <w:t xml:space="preserve"> </w:t>
      </w:r>
      <w:r>
        <w:t xml:space="preserve">the upstream stages. In the networked route it was peripheral, and it was not necessary at all. We therefore propose that suppliers build passport capacity in one of three modes. They can</w:t>
      </w:r>
      <w:r>
        <w:t xml:space="preserve"> </w:t>
      </w:r>
      <w:r>
        <w:rPr>
          <w:bCs/>
          <w:b/>
        </w:rPr>
        <w:t xml:space="preserve">own</w:t>
      </w:r>
      <w:r>
        <w:t xml:space="preserve"> </w:t>
      </w:r>
      <w:r>
        <w:t xml:space="preserve">it (vertical integration),</w:t>
      </w:r>
      <w:r>
        <w:t xml:space="preserve"> </w:t>
      </w:r>
      <w:r>
        <w:rPr>
          <w:bCs/>
          <w:b/>
        </w:rPr>
        <w:t xml:space="preserve">negotiate</w:t>
      </w:r>
      <w:r>
        <w:t xml:space="preserve"> </w:t>
      </w:r>
      <w:r>
        <w:t xml:space="preserve">it (multi-tier sharing under low appropriation concern), or</w:t>
      </w:r>
      <w:r>
        <w:t xml:space="preserve"> </w:t>
      </w:r>
      <w:r>
        <w:rPr>
          <w:bCs/>
          <w:b/>
        </w:rPr>
        <w:t xml:space="preserve">borrow</w:t>
      </w:r>
      <w:r>
        <w:t xml:space="preserve"> </w:t>
      </w:r>
      <w:r>
        <w:t xml:space="preserve">it (chain-of-custody certification such as GOTS or GRS, whose transaction certificates act as a ready-made information system). This extends Galbraith’s (1974) design alternatives. Information-processing capacity can sit outside the firm, in relationships and in institutional infrastructure, and not only in its structure and systems.</w:t>
      </w:r>
    </w:p>
    <w:p>
      <w:pPr>
        <w:pStyle w:val="BodyText"/>
      </w:pPr>
      <w:r>
        <w:rPr>
          <w:bCs/>
          <w:b/>
        </w:rPr>
        <w:t xml:space="preserve">Second, when pressure is everywhere, it explains nothing.</w:t>
      </w:r>
      <w:r>
        <w:t xml:space="preserve"> </w:t>
      </w:r>
      <w:r>
        <w:t xml:space="preserve">Buyer pressure was a trivial necessary condition: present in every route to readiness, but equally present among failing firms. What separated success from failure was appropriation concern. This shifts the focus of supply chain transparency research (Sodhi &amp; Tang, 2019) from how much brands ask to how suppliers expect the data to be used. In OIPT terms, lateral capacity has a precondition that the theory has left implicit: the receiver must be trusted not to turn information into bargaining power (Fawcett et al., 2007).</w:t>
      </w:r>
    </w:p>
    <w:p>
      <w:pPr>
        <w:pStyle w:val="BodyText"/>
      </w:pPr>
      <w:r>
        <w:rPr>
          <w:bCs/>
          <w:b/>
        </w:rPr>
        <w:t xml:space="preserve">Third, there are two circularities, and the passport sees only one.</w:t>
      </w:r>
      <w:r>
        <w:t xml:space="preserve"> </w:t>
      </w:r>
      <w:r>
        <w:t xml:space="preserve">Indian clusters already run an extensive</w:t>
      </w:r>
      <w:r>
        <w:t xml:space="preserve"> </w:t>
      </w:r>
      <w:r>
        <w:rPr>
          <w:iCs/>
          <w:i/>
        </w:rPr>
        <w:t xml:space="preserve">informal</w:t>
      </w:r>
      <w:r>
        <w:t xml:space="preserve"> </w:t>
      </w:r>
      <w:r>
        <w:t xml:space="preserve">circular economy, driven by cost rather than data: cutting waste flows from Tiruppur to recyclers in Panipat, and export surplus is resold domestically.</w:t>
      </w:r>
      <w:r>
        <w:t xml:space="preserve"> </w:t>
      </w:r>
      <w:r>
        <w:rPr>
          <w:iCs/>
          <w:i/>
        </w:rPr>
        <w:t xml:space="preserve">Formal</w:t>
      </w:r>
      <w:r>
        <w:t xml:space="preserve"> </w:t>
      </w:r>
      <w:r>
        <w:t xml:space="preserve">circularity, by contrast, was decoupled from readiness (Meyer &amp; Rowan, 1977). Data alone did not produce recycled inputs, design-for-recycling or take-back. The passport is designed for formal, brand-led loops. Without deliberate design, it may make the informal loops that already exist invisible, while doing little to create new ones.</w:t>
      </w:r>
    </w:p>
    <w:bookmarkStart w:id="34"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Choose your route.</w:t>
      </w:r>
      <w:r>
        <w:t xml:space="preserve"> </w:t>
      </w:r>
      <w:r>
        <w:t xml:space="preserve">Integrated exporters should build on ownership and digitise in-house records. Smaller firms can reach readiness through two or three trusted upstream partners, with or without sophisticated software.</w:t>
      </w:r>
    </w:p>
    <w:p>
      <w:pPr>
        <w:numPr>
          <w:ilvl w:val="0"/>
          <w:numId w:val="1001"/>
        </w:numPr>
        <w:pStyle w:val="Compact"/>
      </w:pPr>
      <w:r>
        <w:rPr>
          <w:bCs/>
          <w:b/>
        </w:rPr>
        <w:t xml:space="preserve">Don’t buy software first.</w:t>
      </w:r>
      <w:r>
        <w:t xml:space="preserve"> </w:t>
      </w:r>
      <w:r>
        <w:t xml:space="preserve">Firms with platforms but no supplier data stayed below the readiness line.</w:t>
      </w:r>
    </w:p>
    <w:p>
      <w:pPr>
        <w:numPr>
          <w:ilvl w:val="0"/>
          <w:numId w:val="1001"/>
        </w:numPr>
        <w:pStyle w:val="Compact"/>
      </w:pPr>
      <w:r>
        <w:rPr>
          <w:bCs/>
          <w:b/>
        </w:rPr>
        <w:t xml:space="preserve">Brands: limit data use and say so.</w:t>
      </w:r>
      <w:r>
        <w:t xml:space="preserve"> </w:t>
      </w:r>
      <w:r>
        <w:t xml:space="preserve">Written assurance that supplier data will not be used to bypass or squeeze suppliers made the difference between the networked route and failure.</w:t>
      </w:r>
    </w:p>
    <w:p>
      <w:pPr>
        <w:numPr>
          <w:ilvl w:val="0"/>
          <w:numId w:val="1001"/>
        </w:numPr>
        <w:pStyle w:val="Compact"/>
      </w:pPr>
      <w:r>
        <w:rPr>
          <w:bCs/>
          <w:b/>
        </w:rPr>
        <w:t xml:space="preserve">Use certification as a data asset.</w:t>
      </w:r>
      <w:r>
        <w:t xml:space="preserve"> </w:t>
      </w:r>
      <w:r>
        <w:t xml:space="preserve">GOTS and GRS transaction certificates already contain much of what the passport needs.</w:t>
      </w:r>
    </w:p>
    <w:bookmarkEnd w:id="34"/>
    <w:bookmarkStart w:id="35" w:name="policy-implications"/>
    <w:p>
      <w:pPr>
        <w:pStyle w:val="Heading2"/>
      </w:pPr>
      <w:r>
        <w:t xml:space="preserve">Policy Implications</w:t>
      </w:r>
    </w:p>
    <w:p>
      <w:pPr>
        <w:pStyle w:val="FirstParagraph"/>
      </w:pPr>
      <w:r>
        <w:t xml:space="preserve">Three levers follow. The passport’s technical design should</w:t>
      </w:r>
      <w:r>
        <w:t xml:space="preserve"> </w:t>
      </w:r>
      <w:r>
        <w:rPr>
          <w:iCs/>
          <w:i/>
        </w:rPr>
        <w:t xml:space="preserve">recognise</w:t>
      </w:r>
      <w:r>
        <w:t xml:space="preserve"> </w:t>
      </w:r>
      <w:r>
        <w:t xml:space="preserve">existing certification data so that suppliers do not have to duplicate it. Cluster associations in Tiruppur, Ludhiana and Panipat could run shared data platforms that give small firms the networked route at low cost. And enforceable data-use safeguards, in the passport’s access rights or the EU–India agreement, would lower the appropriation concern behind most failures. The passport should also find a way to record recycled content from informal waste flows, rather than rewarding only brand-run take-back schemes.</w:t>
      </w:r>
    </w:p>
    <w:bookmarkEnd w:id="35"/>
    <w:bookmarkStart w:id="36" w:name="limitations-and-future-research"/>
    <w:p>
      <w:pPr>
        <w:pStyle w:val="Heading2"/>
      </w:pPr>
      <w:r>
        <w:t xml:space="preserve">Limitations and Future Research</w:t>
      </w:r>
    </w:p>
    <w:p>
      <w:pPr>
        <w:pStyle w:val="FirstParagraph"/>
      </w:pPr>
      <w:r>
        <w:t xml:space="preserve">fsQCA identifies set relations, not net effects, and our purposive sample of 50 firms supports analytical rather than statistical generalisation. Future research should test the three modes with larger samples once the passport is mandatory, and in Bangladesh, Vietnam and Türkiye.</w:t>
      </w:r>
    </w:p>
    <w:bookmarkEnd w:id="36"/>
    <w:bookmarkEnd w:id="37"/>
    <w:bookmarkStart w:id="38" w:name="conclusion"/>
    <w:p>
      <w:pPr>
        <w:pStyle w:val="Heading1"/>
      </w:pPr>
      <w:r>
        <w:t xml:space="preserve">Conclusion</w:t>
      </w:r>
    </w:p>
    <w:p>
      <w:pPr>
        <w:pStyle w:val="FirstParagraph"/>
      </w:pPr>
      <w:r>
        <w:t xml:space="preserve">The Digital Product Passport is a supply chain design decision disguised as a compliance requirement. Suppliers become passport-ready by owning, negotiating or borrowing access to upstream data, not by buying software, and they fail when they fear how their data will be used. If the passport is to serve circularity and not only compliance, brands and policymakers must build trust, recognise existing certification infrastructure, and see the circular economy that Indian clusters already run.</w:t>
      </w:r>
    </w:p>
    <w:bookmarkEnd w:id="38"/>
    <w:bookmarkStart w:id="39"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Configurations of Supplier Capacity for Digital Product Passport Readiness and Circularity in Indian Apparel Exports</dc:title>
  <dc:creator/>
  <cp:keywords/>
  <dcterms:created xsi:type="dcterms:W3CDTF">2026-10-25T19:39:51Z</dcterms:created>
  <dcterms:modified xsi:type="dcterms:W3CDTF">2026-10-25T19:39:51Z</dcterms:modified>
</cp:coreProperties>
</file>

<file path=docProps/custom.xml><?xml version="1.0" encoding="utf-8"?>
<Properties xmlns="http://schemas.openxmlformats.org/officeDocument/2006/custom-properties" xmlns:vt="http://schemas.openxmlformats.org/officeDocument/2006/docPropsVTypes"/>
</file>