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OEKO-TEX; bluesign; Higg FEM verified; ZDHC; Better Cotton; ISO 14001; Other. The count gives</w:t>
            </w:r>
            <w:r>
              <w:t xml:space="preserve"> </w:t>
            </w:r>
            <w:r>
              <w:rPr>
                <w:rStyle w:val="VerbatimChar"/>
              </w:rPr>
              <w:t xml:space="preserve">CERT</w:t>
            </w:r>
            <w:r>
              <w:t xml:space="preserve"> </w:t>
            </w:r>
            <w:r>
              <w:t xml:space="preserve">(robustness condition)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section-f-buyer-pressure-condition-btp"/>
    <w:p>
      <w:pPr>
        <w:pStyle w:val="Heading1"/>
      </w:pPr>
      <w:r>
        <w:t xml:space="preserve">Section F: Buyer pressure (condition</w:t>
      </w:r>
      <w:r>
        <w:t xml:space="preserve"> </w:t>
      </w:r>
      <w:r>
        <w:rPr>
          <w:rStyle w:val="VerbatimChar"/>
        </w:rPr>
        <w:t xml:space="preserve">BTP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2026-10-25T19:39:51Z</dcterms:created>
  <dcterms:modified xsi:type="dcterms:W3CDTF">2026-10-25T19:39:51Z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