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Call-for-Papers</w:t>
      </w:r>
      <w:r>
        <w:t xml:space="preserve"> </w:t>
      </w:r>
      <w:r>
        <w:t xml:space="preserve">Compliance</w:t>
      </w:r>
      <w:r>
        <w:t xml:space="preserve"> </w:t>
      </w:r>
      <w:r>
        <w:t xml:space="preserve">Checklist:</w:t>
      </w:r>
      <w:r>
        <w:t xml:space="preserve"> </w:t>
      </w:r>
      <w:r>
        <w:t xml:space="preserve">JBL</w:t>
      </w:r>
      <w:r>
        <w:t xml:space="preserve"> </w:t>
      </w:r>
      <w:r>
        <w:t xml:space="preserve">STF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Point!</w:t>
      </w:r>
      <w:r>
        <w:t xml:space="preserve"> </w:t>
      </w:r>
      <w:r>
        <w:t xml:space="preserve">2027</w:t>
      </w:r>
    </w:p>
    <w:p>
      <w:pPr>
        <w:pStyle w:val="Author"/>
      </w:pPr>
    </w:p>
    <w:p>
      <w:pPr>
        <w:pStyle w:val="FirstParagraph"/>
      </w:pPr>
      <w:r>
        <w:t xml:space="preserve">Each requirement in the call (</w:t>
      </w:r>
      <w:r>
        <w:rPr>
          <w:iCs/>
          <w:i/>
        </w:rPr>
        <w:t xml:space="preserve">To the Point! Supply Chain Management Design: Seeking Research that Resonates</w:t>
      </w:r>
      <w:r>
        <w:t xml:space="preserve">) is checked against the package below.</w:t>
      </w:r>
    </w:p>
    <w:bookmarkStart w:id="20" w:name="process-requirements"/>
    <w:p>
      <w:pPr>
        <w:pStyle w:val="Heading1"/>
      </w:pPr>
      <w:r>
        <w:t xml:space="preserve">Process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in the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Empirical, based on data collected in</w:t>
            </w:r>
            <w:r>
              <w:t xml:space="preserve"> </w:t>
            </w:r>
            <w:r>
              <w:rPr>
                <w:bCs/>
                <w:b/>
              </w:rPr>
              <w:t xml:space="preserve">2026 or 2027</w:t>
            </w:r>
            <w:r>
              <w:t xml:space="preserve">; secondary data must be the latest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(by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interviews Dec 2026 – Feb 2027. Secondary facts are FY2025-26 and 2026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3,500–4,000 words including references</w:t>
            </w:r>
            <w:r>
              <w:t xml:space="preserve">; abstract, figures and tables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2,784 + references 896 =</w:t>
            </w:r>
            <w:r>
              <w:t xml:space="preserve"> </w:t>
            </w:r>
            <w:r>
              <w:rPr>
                <w:bCs/>
                <w:b/>
              </w:rPr>
              <w:t xml:space="preserve">3,680</w:t>
            </w:r>
            <w:r>
              <w:t xml:space="preserve"> </w:t>
            </w:r>
            <w:r>
              <w:t xml:space="preserve">(placeholders filled with numbers keep this roughly constant; recheck after the results are written)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appendices encouraged for conciseness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04_online_appendix.md</w:t>
            </w:r>
            <w:r>
              <w:t xml:space="preserve"> </w:t>
            </w:r>
            <w:r>
              <w:t xml:space="preserve">holds calibration anchors, the fsQCA protocol, robustness checks and the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Reader-friendly for scholars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practitioners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intro;</w:t>
            </w:r>
            <w:r>
              <w:t xml:space="preserve"> </w:t>
            </w:r>
            <w:r>
              <w:t xml:space="preserve">“</w:t>
            </w:r>
            <w:r>
              <w:t xml:space="preserve">Key insights for practitioners</w:t>
            </w:r>
            <w:r>
              <w:t xml:space="preserve">”</w:t>
            </w:r>
            <w:r>
              <w:t xml:space="preserve"> </w:t>
            </w:r>
            <w:r>
              <w:t xml:space="preserve">box; policy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High-quality, original,</w:t>
            </w:r>
            <w:r>
              <w:t xml:space="preserve"> </w:t>
            </w:r>
            <w:r>
              <w:t xml:space="preserve">“</w:t>
            </w:r>
            <w:r>
              <w:t xml:space="preserve">cool</w:t>
            </w:r>
            <w:r>
              <w:t xml:space="preserve">”</w:t>
            </w:r>
            <w:r>
              <w:t xml:space="preserve"> </w:t>
            </w:r>
            <w:r>
              <w:t xml:space="preserve">topic; theory to make sense of 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DPP + circular textiles; OIPT read configurationally (equifinal routes) plus institutional decoupling (P4); fsQCA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with</w:t>
            </w:r>
            <w:r>
              <w:t xml:space="preserve"> </w:t>
            </w:r>
            <w:r>
              <w:rPr>
                <w:iCs/>
                <w:i/>
              </w:rPr>
              <w:t xml:space="preserve">Journal of Business Logistics</w:t>
            </w:r>
            <w:r>
              <w:t xml:space="preserve"> </w:t>
            </w:r>
            <w:r>
              <w:t xml:space="preserve">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met (author action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7 references, unnumbered APA headings, anonymised manuscript (no author names in the text or docx metadata).</w:t>
            </w:r>
            <w:r>
              <w:t xml:space="preserve"> </w:t>
            </w:r>
            <w:r>
              <w:rPr>
                <w:bCs/>
                <w:b/>
              </w:rPr>
              <w:t xml:space="preserve">To do:</w:t>
            </w:r>
            <w:r>
              <w:t xml:space="preserve"> </w:t>
            </w:r>
            <w:r>
              <w:t xml:space="preserve">check the current JBL author guidelines on Wiley for the title page, abstract length and figure format before April</w:t>
            </w:r>
          </w:p>
        </w:tc>
      </w:tr>
    </w:tbl>
    <w:bookmarkEnd w:id="20"/>
    <w:bookmarkStart w:id="21" w:name="Xa5a6188c43f01b7f671cd6fb5ad532a9d5f7d00"/>
    <w:p>
      <w:pPr>
        <w:pStyle w:val="Heading1"/>
      </w:pPr>
      <w:r>
        <w:t xml:space="preserve">Abstract requirements (deadline</w:t>
      </w:r>
      <w:r>
        <w:t xml:space="preserve"> </w:t>
      </w:r>
      <w:r>
        <w:rPr>
          <w:bCs/>
          <w:b/>
        </w:rPr>
        <w:t xml:space="preserve">31 December 2026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500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493 words</w:t>
            </w:r>
            <w:r>
              <w:t xml:space="preserve"> </w:t>
            </w:r>
            <w:r>
              <w:rPr>
                <w:iCs/>
                <w:i/>
              </w:rPr>
              <w:t xml:space="preserve">including</w:t>
            </w:r>
            <w:r>
              <w:t xml:space="preserve"> </w:t>
            </w:r>
            <w:r>
              <w:t xml:space="preserve">title and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are you going to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paragraph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should readers care?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paragraph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your theoretical lens?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paragraph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your methodology?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paragraph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data will you 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paragraph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will findings influence theory and practice?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paragraph 6</w:t>
            </w:r>
          </w:p>
        </w:tc>
      </w:tr>
    </w:tbl>
    <w:bookmarkEnd w:id="21"/>
    <w:bookmarkStart w:id="22" w:name="X719352f3d8beaa325f39c8de0e6e52315164669"/>
    <w:p>
      <w:pPr>
        <w:pStyle w:val="Heading1"/>
      </w:pPr>
      <w:r>
        <w:t xml:space="preserve">Topic fit (</w:t>
      </w:r>
      <w:r>
        <w:t xml:space="preserve">“</w:t>
      </w:r>
      <w:r>
        <w:t xml:space="preserve">germane, current, provocative, accessible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 topic bullet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paper speaks 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Connections and trade-offs among sustainability, risk and operational excellence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Circularity vs. decoupling (P4); compliance cost vs. competitiveness (Discussion)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Redesigning global SC footprints amid geopolitical rivalry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tariffs and the EU–India FTA redirect Indian exports to the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policy for SC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implications: shared data infrastructure, data-use safeguards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creation across organisational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vs. networked routes; data-appropriation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to create distinctive SC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traceability capability and the DPP</w:t>
            </w:r>
          </w:p>
        </w:tc>
      </w:tr>
    </w:tbl>
    <w:bookmarkEnd w:id="22"/>
    <w:bookmarkStart w:id="23" w:name="timeline-set-by-the-call"/>
    <w:p>
      <w:pPr>
        <w:pStyle w:val="Heading1"/>
      </w:pPr>
      <w:r>
        <w:t xml:space="preserve">Timeline set by the call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Dec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the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Jan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on the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Jan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developmental workshop (attend)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1–30 Apr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Full-paper submission window (if invited)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end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decisions</w:t>
            </w:r>
          </w:p>
        </w:tc>
      </w:tr>
    </w:tbl>
    <w:bookmarkEnd w:id="23"/>
    <w:bookmarkStart w:id="24" w:name="open-items-before-submission"/>
    <w:p>
      <w:pPr>
        <w:pStyle w:val="Heading1"/>
      </w:pPr>
      <w:r>
        <w:t xml:space="preserve">Open items before submission</w:t>
      </w:r>
    </w:p>
    <w:p>
      <w:pPr>
        <w:numPr>
          <w:ilvl w:val="0"/>
          <w:numId w:val="1001"/>
        </w:numPr>
        <w:pStyle w:val="Compact"/>
      </w:pPr>
      <w:r>
        <w:t xml:space="preserve">Fill all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placeholders from the 2026–27 interview data only, and then recount the words (target 3,500–4,000 including references).</w:t>
      </w:r>
    </w:p>
    <w:p>
      <w:pPr>
        <w:numPr>
          <w:ilvl w:val="0"/>
          <w:numId w:val="1001"/>
        </w:numPr>
        <w:pStyle w:val="Compact"/>
      </w:pPr>
      <w:r>
        <w:t xml:space="preserve">Verify every reference not marked as checked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Read the current JBL author guidelines and two or three recent JBL papers to match their format.</w:t>
      </w:r>
    </w:p>
    <w:p>
      <w:pPr>
        <w:numPr>
          <w:ilvl w:val="0"/>
          <w:numId w:val="1001"/>
        </w:numPr>
        <w:pStyle w:val="Compact"/>
      </w:pPr>
      <w:r>
        <w:t xml:space="preserve">Prepare the separate title page with authors (not in the blinded manuscript).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Call-for-Papers Compliance Checklist: JBL STF To the Point! 2027</dc:title>
  <dc:creator/>
  <cp:keywords/>
  <dcterms:created xsi:type="dcterms:W3CDTF">2026-10-25T19:39:52Z</dcterms:created>
  <dcterms:modified xsi:type="dcterms:W3CDTF">2026-10-25T19:39:52Z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