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FirstParagraph"/>
      </w:pPr>
      <w:r>
        <w:rPr>
          <w:bCs/>
          <w:b/>
        </w:rPr>
        <w:t xml:space="preserve">What are we going to do?</w:t>
      </w:r>
      <w:r>
        <w:t xml:space="preserve"> </w:t>
      </w:r>
      <w:r>
        <w:t xml:space="preserve">The EU Ecodesign for Sustainable Products Regulation (2024/1781) will require every garment sold in the EU to carry a Digital Product Passport (DPP) recording composition, origin, chemicals, footprint, durability and recyclability. The textile delegated act is planned for 2027. The destruction ban on unsold apparel (since July 2026) and the live DPP Registry already push documentation demands onto suppliers, who hold most passport data several tiers upstream. We ask which combinations of supplier conditions produce passport readiness, which produce its absence, and whether readiness leads to circularity.</w:t>
      </w:r>
    </w:p>
    <w:p>
      <w:pPr>
        <w:pStyle w:val="BodyText"/>
      </w:pPr>
      <w:r>
        <w:rPr>
          <w:bCs/>
          <w:b/>
        </w:rPr>
        <w:t xml:space="preserve">Why should readers care?</w:t>
      </w:r>
      <w:r>
        <w:t xml:space="preserve"> </w:t>
      </w:r>
      <w:r>
        <w:t xml:space="preserve">U.S. tariffs of up to 50% and the EU–India free trade agreement concluded in January 2026 are steering Indian exporters toward the EU, just as product data become a condition of market access. Choices made in 2027 will decide which suppliers stay in EU supply chains. For managers, the DPP is a supply chain design problem, not an IT purchase. For policymakers, it raises the question of who pays for transparency.</w:t>
      </w:r>
    </w:p>
    <w:p>
      <w:pPr>
        <w:pStyle w:val="BodyText"/>
      </w:pPr>
      <w:r>
        <w:rPr>
          <w:bCs/>
          <w:b/>
        </w:rPr>
        <w:t xml:space="preserve">What is our theoretical lens?</w:t>
      </w:r>
      <w:r>
        <w:t xml:space="preserve"> </w:t>
      </w:r>
      <w:r>
        <w:t xml:space="preserve">Organizational information processing theory, read configurationally. We expect suppliers to reach readiness by</w:t>
      </w:r>
      <w:r>
        <w:t xml:space="preserve"> </w:t>
      </w:r>
      <w:r>
        <w:rPr>
          <w:bCs/>
          <w:b/>
        </w:rPr>
        <w:t xml:space="preserve">owning</w:t>
      </w:r>
      <w:r>
        <w:t xml:space="preserve"> </w:t>
      </w:r>
      <w:r>
        <w:t xml:space="preserve">upstream data (vertical integration),</w:t>
      </w:r>
      <w:r>
        <w:t xml:space="preserve"> </w:t>
      </w:r>
      <w:r>
        <w:rPr>
          <w:bCs/>
          <w:b/>
        </w:rPr>
        <w:t xml:space="preserve">negotiating</w:t>
      </w:r>
      <w:r>
        <w:t xml:space="preserve"> </w:t>
      </w:r>
      <w:r>
        <w:t xml:space="preserve">for it (multi-tier sharing), or</w:t>
      </w:r>
      <w:r>
        <w:t xml:space="preserve"> </w:t>
      </w:r>
      <w:r>
        <w:rPr>
          <w:bCs/>
          <w:b/>
        </w:rPr>
        <w:t xml:space="preserve">borrowing</w:t>
      </w:r>
      <w:r>
        <w:t xml:space="preserve"> </w:t>
      </w:r>
      <w:r>
        <w:t xml:space="preserve">it (chain-of-custody certification such as GOTS or GRS), with no single route necessary. Because buyer pressure is near-universal, we expect</w:t>
      </w:r>
      <w:r>
        <w:t xml:space="preserve"> </w:t>
      </w:r>
      <w:r>
        <w:rPr>
          <w:iCs/>
          <w:i/>
        </w:rPr>
        <w:t xml:space="preserve">data-appropriation concern</w:t>
      </w:r>
      <w:r>
        <w:t xml:space="preserve">, not pressure, to separate ready from unready firms; ownership and negotiation may work precisely by removing that concern. Drawing on institutional theory, we expect</w:t>
      </w:r>
      <w:r>
        <w:t xml:space="preserve"> </w:t>
      </w:r>
      <w:r>
        <w:t xml:space="preserve">“</w:t>
      </w:r>
      <w:r>
        <w:t xml:space="preserve">two circularities</w:t>
      </w:r>
      <w:r>
        <w:t xml:space="preserve">”</w:t>
      </w:r>
      <w:r>
        <w:t xml:space="preserve">: informal, cost-driven loops (cutting-waste trade, surplus resale) that need no data, and formal, brand-led loops that readiness alone may not produce.</w:t>
      </w:r>
    </w:p>
    <w:p>
      <w:pPr>
        <w:pStyle w:val="BodyText"/>
      </w:pPr>
      <w:r>
        <w:rPr>
          <w:bCs/>
          <w:b/>
        </w:rPr>
        <w:t xml:space="preserve">What is our methodology?</w:t>
      </w:r>
      <w:r>
        <w:t xml:space="preserve"> </w:t>
      </w:r>
      <w:r>
        <w:t xml:space="preserve">Fuzzy-set qualitative comparative analysis (fsQCA), which identifies combinations of conditions sufficient or necessary for an outcome and allows different explanations for success and failure. We analyse high and low readiness, and formal and informal circularity separately, with robustness tests on calibration and thresholds.</w:t>
      </w:r>
    </w:p>
    <w:p>
      <w:pPr>
        <w:pStyle w:val="BodyText"/>
      </w:pPr>
      <w:r>
        <w:rPr>
          <w:bCs/>
          <w:b/>
        </w:rPr>
        <w:t xml:space="preserve">What data will we use?</w:t>
      </w:r>
      <w:r>
        <w:t xml:space="preserve"> </w:t>
      </w:r>
      <w:r>
        <w:t xml:space="preserve">Structured interviews, December 2026 to February 2027, with 40–60 Indian textile and apparel exporters supplying EU buyers. Firms are sampled for diversity across clusters (Tiruppur, Bengaluru, NCR, Ludhiana, Panipat, Kolkata), tiers, sizes and integration. Most measures are factual checklists (e.g., passport data categories a firm can supply today), verified against documents where possible.</w:t>
      </w:r>
    </w:p>
    <w:p>
      <w:pPr>
        <w:pStyle w:val="BodyText"/>
      </w:pPr>
      <w:r>
        <w:rPr>
          <w:bCs/>
          <w:b/>
        </w:rPr>
        <w:t xml:space="preserve">How will our findings influence theory and practice?</w:t>
      </w:r>
      <w:r>
        <w:t xml:space="preserve"> </w:t>
      </w:r>
      <w:r>
        <w:t xml:space="preserve">For theory, we extend information processing theory from capacity inside the firm to capacity held in relationships and institutional infrastructure. We also show why pressure alone fails. For practice, we show suppliers which route fits their structure, and show brands that data-use safeguards matter more than more pressure. For policy, we show how recognising certification data, building cluster data platforms and seeing informal circularity could close the</w:t>
      </w:r>
      <w:r>
        <w:t xml:space="preserve"> </w:t>
      </w:r>
      <w:r>
        <w:t xml:space="preserve">“</w:t>
      </w:r>
      <w:r>
        <w:t xml:space="preserve">passport gap</w:t>
      </w:r>
      <w:r>
        <w:t xml:space="preserve">”</w:t>
      </w:r>
      <w:r>
        <w:t xml:space="preserve"> </w:t>
      </w:r>
      <w:r>
        <w:t xml:space="preserve">without excluding small suppliers.</w:t>
      </w:r>
    </w:p>
    <w:p>
      <w:pPr>
        <w:pStyle w:val="BodyText"/>
      </w:pPr>
      <w:r>
        <w:rPr>
          <w:iCs/>
          <w:i/>
        </w:rPr>
        <w:t xml:space="preserve">Keywords:</w:t>
      </w:r>
      <w:r>
        <w:t xml:space="preserve"> </w:t>
      </w:r>
      <w:r>
        <w:t xml:space="preserve">digital product passport; circular economy; apparel supply chains; information processing theory; fsQCA;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Owned, Negotiated or Borrowed Routes to Digital Product Passport Readiness in Indian Apparel Exports</dc:title>
  <dc:creator/>
  <cp:keywords/>
  <dcterms:created xsi:type="dcterms:W3CDTF">2026-10-25T20:00:43Z</dcterms:created>
  <dcterms:modified xsi:type="dcterms:W3CDTF">2026-10-25T20:00:43Z</dcterms:modified>
</cp:coreProperties>
</file>

<file path=docProps/custom.xml><?xml version="1.0" encoding="utf-8"?>
<Properties xmlns="http://schemas.openxmlformats.org/officeDocument/2006/custom-properties" xmlns:vt="http://schemas.openxmlformats.org/officeDocument/2006/docPropsVTypes"/>
</file>