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[ILLUSTRATIVE</w:t>
      </w:r>
      <w:r>
        <w:t xml:space="preserve"> </w:t>
      </w:r>
      <w:r>
        <w:t xml:space="preserve">–</w:t>
      </w:r>
      <w:r>
        <w:t xml:space="preserve"> </w:t>
      </w:r>
      <w:r>
        <w:t xml:space="preserve">SIMULATED</w:t>
      </w:r>
      <w:r>
        <w:t xml:space="preserve"> </w:t>
      </w:r>
      <w:r>
        <w:t xml:space="preserve">DATA</w:t>
      </w:r>
      <w:r>
        <w:t xml:space="preserve"> </w:t>
      </w:r>
      <w:r>
        <w:t xml:space="preserve">–</w:t>
      </w:r>
      <w:r>
        <w:t xml:space="preserve"> </w:t>
      </w:r>
      <w:r>
        <w:t xml:space="preserve">NOT</w:t>
      </w:r>
      <w:r>
        <w:t xml:space="preserve"> </w:t>
      </w:r>
      <w:r>
        <w:t xml:space="preserve">FOR</w:t>
      </w:r>
      <w:r>
        <w:t xml:space="preserve"> </w:t>
      </w:r>
      <w:r>
        <w:t xml:space="preserve">SUBMISSION]</w:t>
      </w:r>
      <w:r>
        <w:t xml:space="preserve"> </w:t>
      </w:r>
      <w:r>
        <w:t xml:space="preserve">Who</w:t>
      </w:r>
      <w:r>
        <w:t xml:space="preserve"> </w:t>
      </w:r>
      <w:r>
        <w:t xml:space="preserve">Carries</w:t>
      </w:r>
      <w:r>
        <w:t xml:space="preserve"> </w:t>
      </w:r>
      <w:r>
        <w:t xml:space="preserve">the</w:t>
      </w:r>
      <w:r>
        <w:t xml:space="preserve"> </w:t>
      </w:r>
      <w:r>
        <w:t xml:space="preserve">Passport?</w:t>
      </w:r>
      <w:r>
        <w:t xml:space="preserve"> </w:t>
      </w:r>
      <w:r>
        <w:t xml:space="preserve">Owned,</w:t>
      </w:r>
      <w:r>
        <w:t xml:space="preserve"> </w:t>
      </w:r>
      <w:r>
        <w:t xml:space="preserve">Negotiated</w:t>
      </w:r>
      <w:r>
        <w:t xml:space="preserve"> </w:t>
      </w:r>
      <w:r>
        <w:t xml:space="preserve">or</w:t>
      </w:r>
      <w:r>
        <w:t xml:space="preserve"> </w:t>
      </w:r>
      <w:r>
        <w:t xml:space="preserve">Borrowed</w:t>
      </w:r>
      <w:r>
        <w:t xml:space="preserve"> </w:t>
      </w:r>
      <w:r>
        <w:t xml:space="preserve">Routes</w:t>
      </w:r>
      <w:r>
        <w:t xml:space="preserve"> </w:t>
      </w:r>
      <w:r>
        <w:t xml:space="preserve">to</w:t>
      </w:r>
      <w:r>
        <w:t xml:space="preserve"> </w:t>
      </w:r>
      <w:r>
        <w:t xml:space="preserve">Digital</w:t>
      </w:r>
      <w:r>
        <w:t xml:space="preserve"> </w:t>
      </w:r>
      <w:r>
        <w:t xml:space="preserve">Product</w:t>
      </w:r>
      <w:r>
        <w:t xml:space="preserve"> </w:t>
      </w:r>
      <w:r>
        <w:t xml:space="preserve">Passport</w:t>
      </w:r>
      <w:r>
        <w:t xml:space="preserve"> </w:t>
      </w:r>
      <w:r>
        <w:t xml:space="preserve">Readiness</w:t>
      </w:r>
      <w:r>
        <w:t xml:space="preserve"> </w:t>
      </w:r>
      <w:r>
        <w:t xml:space="preserve">in</w:t>
      </w:r>
      <w:r>
        <w:t xml:space="preserve"> </w:t>
      </w:r>
      <w:r>
        <w:t xml:space="preserve">Indian</w:t>
      </w:r>
      <w:r>
        <w:t xml:space="preserve"> </w:t>
      </w:r>
      <w:r>
        <w:t xml:space="preserve">Apparel</w:t>
      </w:r>
      <w:r>
        <w:t xml:space="preserve"> </w:t>
      </w:r>
      <w:r>
        <w:t xml:space="preserve">Exports</w:t>
      </w:r>
    </w:p>
    <w:p>
      <w:pPr>
        <w:pStyle w:val="Author"/>
      </w:pPr>
    </w:p>
    <w:p>
      <w:pPr>
        <w:pStyle w:val="BlockText"/>
      </w:pPr>
      <w:r>
        <w:rPr>
          <w:bCs/>
          <w:b/>
        </w:rPr>
        <w:t xml:space="preserve">Internal use only.</w:t>
      </w:r>
      <w:r>
        <w:t xml:space="preserve"> </w:t>
      </w:r>
      <w:r>
        <w:t xml:space="preserve">This shows how a results-based abstract would read</w:t>
      </w:r>
      <w:r>
        <w:t xml:space="preserve"> </w:t>
      </w:r>
      <w:r>
        <w:rPr>
          <w:iCs/>
          <w:i/>
        </w:rPr>
        <w:t xml:space="preserve">after</w:t>
      </w:r>
      <w:r>
        <w:t xml:space="preserve"> </w:t>
      </w:r>
      <w:r>
        <w:t xml:space="preserve">the real fieldwork, using the simulated results in</w:t>
      </w:r>
      <w:r>
        <w:t xml:space="preserve"> </w:t>
      </w:r>
      <w:r>
        <w:rPr>
          <w:rStyle w:val="VerbatimChar"/>
        </w:rPr>
        <w:t xml:space="preserve">results/fsqca_results.md</w:t>
      </w:r>
      <w:r>
        <w:t xml:space="preserve">. The simulated firms encode our own assumptions, so these are not findings. Do not submit, circulate or cite.</w:t>
      </w:r>
    </w:p>
    <w:p>
      <w:pPr>
        <w:pStyle w:val="FirstParagraph"/>
      </w:pPr>
      <w:r>
        <w:rPr>
          <w:bCs/>
          <w:b/>
        </w:rPr>
        <w:t xml:space="preserve">What did we do?</w:t>
      </w:r>
      <w:r>
        <w:t xml:space="preserve"> </w:t>
      </w:r>
      <w:r>
        <w:t xml:space="preserve">The EU’s Digital Product Passport (DPP) will make product-level data on composition, origin, chemicals, footprint and recyclability a condition of selling garments in the EU. Most of these data sit with suppliers several tiers upstream. We asked which combinations of supplier conditions produce passport readiness, which produce its absence, and whether readiness leads to circularity.</w:t>
      </w:r>
    </w:p>
    <w:p>
      <w:pPr>
        <w:pStyle w:val="BodyText"/>
      </w:pPr>
      <w:r>
        <w:rPr>
          <w:bCs/>
          <w:b/>
        </w:rPr>
        <w:t xml:space="preserve">Why should readers care?</w:t>
      </w:r>
      <w:r>
        <w:t xml:space="preserve"> </w:t>
      </w:r>
      <w:r>
        <w:t xml:space="preserve">U.S. tariffs and the EU–India free trade agreement are steering Indian exporters toward the EU just as data become a condition of market access. The DPP is a supply chain design problem, not an IT purchase.</w:t>
      </w:r>
    </w:p>
    <w:p>
      <w:pPr>
        <w:pStyle w:val="BodyText"/>
      </w:pPr>
      <w:r>
        <w:rPr>
          <w:bCs/>
          <w:b/>
        </w:rPr>
        <w:t xml:space="preserve">Theoretical lens.</w:t>
      </w:r>
      <w:r>
        <w:t xml:space="preserve"> </w:t>
      </w:r>
      <w:r>
        <w:t xml:space="preserve">Organizational information processing theory, read configurationally, and institutional decoupling.</w:t>
      </w:r>
    </w:p>
    <w:p>
      <w:pPr>
        <w:pStyle w:val="BodyText"/>
      </w:pPr>
      <w:r>
        <w:rPr>
          <w:bCs/>
          <w:b/>
        </w:rPr>
        <w:t xml:space="preserve">Method and data.</w:t>
      </w:r>
      <w:r>
        <w:t xml:space="preserve"> </w:t>
      </w:r>
      <w:r>
        <w:t xml:space="preserve">fsQCA of [50] Indian textile and apparel exporters interviewed between December 2026 and February 2027.</w:t>
      </w:r>
    </w:p>
    <w:p>
      <w:pPr>
        <w:pStyle w:val="BodyText"/>
      </w:pPr>
      <w:r>
        <w:rPr>
          <w:bCs/>
          <w:b/>
        </w:rPr>
        <w:t xml:space="preserve">Findings (SIMULATED).</w:t>
      </w:r>
      <w:r>
        <w:t xml:space="preserve"> </w:t>
      </w:r>
      <w:r>
        <w:t xml:space="preserve">Three configurations were sufficient for high readiness (solution consistency 0.92, coverage 0.85). They reduce to two core mechanisms:</w:t>
      </w:r>
      <w:r>
        <w:t xml:space="preserve"> </w:t>
      </w:r>
      <w:r>
        <w:rPr>
          <w:iCs/>
          <w:i/>
        </w:rPr>
        <w:t xml:space="preserve">trusted capture</w:t>
      </w:r>
      <w:r>
        <w:t xml:space="preserve"> </w:t>
      </w:r>
      <w:r>
        <w:t xml:space="preserve">(digital traceability without data-appropriation concern) and</w:t>
      </w:r>
      <w:r>
        <w:t xml:space="preserve"> </w:t>
      </w:r>
      <w:r>
        <w:rPr>
          <w:iCs/>
          <w:i/>
        </w:rPr>
        <w:t xml:space="preserve">borrowed data</w:t>
      </w:r>
      <w:r>
        <w:t xml:space="preserve"> </w:t>
      </w:r>
      <w:r>
        <w:t xml:space="preserve">(transaction-certificate coverage under GOTS or GRS). Ownership and supplier sharing appeared only as peripheral conditions; they matter as ways of removing the fear of data misuse. Digital traceability was necessary (0.91), so certificates complemented rather than replaced in-house systems. Buyer pressure was present for 86% of firms and did not distinguish ready from unready firms. Low readiness combined missing traceability or appropriation concern with no certification. Readiness alone was not sufficient for formal circular practice (0.50), which appeared only in integrated, certified recyclers; informal circularity was widespread.</w:t>
      </w:r>
    </w:p>
    <w:p>
      <w:pPr>
        <w:pStyle w:val="BodyText"/>
      </w:pPr>
      <w:r>
        <w:rPr>
          <w:bCs/>
          <w:b/>
        </w:rPr>
        <w:t xml:space="preserve">Implications.</w:t>
      </w:r>
      <w:r>
        <w:t xml:space="preserve"> </w:t>
      </w:r>
      <w:r>
        <w:t xml:space="preserve">Suppliers become passport-ready by capturing data they can reach without fear, or by borrowing it from certification. Brands get better passports by limiting how they use supplier data than by pushing harder. Policy should recognise certification data, fund cluster data platforms, and make India’s informal circular economy visible in the passport.</w:t>
      </w:r>
    </w:p>
    <w:p>
      <w:pPr>
        <w:pStyle w:val="BodyText"/>
      </w:pPr>
      <w:r>
        <w:rPr>
          <w:iCs/>
          <w:i/>
        </w:rPr>
        <w:t xml:space="preserve">Keywords:</w:t>
      </w:r>
      <w:r>
        <w:t xml:space="preserve"> </w:t>
      </w:r>
      <w:r>
        <w:t xml:space="preserve">digital product passport; circular economy; apparel supply chains; information processing theory; fsQCA; India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[ILLUSTRATIVE – SIMULATED DATA – NOT FOR SUBMISSION] Who Carries the Passport? Owned, Negotiated or Borrowed Routes to Digital Product Passport Readiness in Indian Apparel Exports</dc:title>
  <dc:creator/>
  <cp:keywords/>
  <dcterms:created xsi:type="dcterms:W3CDTF">2026-10-25T20:00:43Z</dcterms:created>
  <dcterms:modified xsi:type="dcterms:W3CDTF">2026-10-25T20:00:43Z</dcterms:modified>
</cp:coreProperties>
</file>

<file path=docProps/custom.xml><?xml version="1.0" encoding="utf-8"?>
<Properties xmlns="http://schemas.openxmlformats.org/officeDocument/2006/custom-properties" xmlns:vt="http://schemas.openxmlformats.org/officeDocument/2006/docPropsVTypes"/>
</file>