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Online</w:t>
      </w:r>
      <w:r>
        <w:t xml:space="preserve"> </w:t>
      </w:r>
      <w:r>
        <w:t xml:space="preserve">Appendix:</w:t>
      </w:r>
      <w:r>
        <w:t xml:space="preserve"> </w:t>
      </w:r>
      <w:r>
        <w:t xml:space="preserve">Who</w:t>
      </w:r>
      <w:r>
        <w:t xml:space="preserve"> </w:t>
      </w:r>
      <w:r>
        <w:t xml:space="preserve">Carries</w:t>
      </w:r>
      <w:r>
        <w:t xml:space="preserve"> </w:t>
      </w:r>
      <w:r>
        <w:t xml:space="preserve">the</w:t>
      </w:r>
      <w:r>
        <w:t xml:space="preserve"> </w:t>
      </w:r>
      <w:r>
        <w:t xml:space="preserve">Passport?</w:t>
      </w:r>
    </w:p>
    <w:p>
      <w:pPr>
        <w:pStyle w:val="Subtitle"/>
      </w:pPr>
      <w:r>
        <w:t xml:space="preserve">Appendix</w:t>
      </w:r>
      <w:r>
        <w:t xml:space="preserve"> </w:t>
      </w:r>
      <w:r>
        <w:t xml:space="preserve">A</w:t>
      </w:r>
      <w:r>
        <w:t xml:space="preserve"> </w:t>
      </w:r>
      <w:r>
        <w:t xml:space="preserve">(measures</w:t>
      </w:r>
      <w:r>
        <w:t xml:space="preserve"> </w:t>
      </w:r>
      <w:r>
        <w:t xml:space="preserve">and</w:t>
      </w:r>
      <w:r>
        <w:t xml:space="preserve"> </w:t>
      </w:r>
      <w:r>
        <w:t xml:space="preserve">calibration),</w:t>
      </w:r>
      <w:r>
        <w:t xml:space="preserve"> </w:t>
      </w:r>
      <w:r>
        <w:t xml:space="preserve">B</w:t>
      </w:r>
      <w:r>
        <w:t xml:space="preserve"> </w:t>
      </w:r>
      <w:r>
        <w:t xml:space="preserve">(fsQCA</w:t>
      </w:r>
      <w:r>
        <w:t xml:space="preserve"> </w:t>
      </w:r>
      <w:r>
        <w:t xml:space="preserve">protocol</w:t>
      </w:r>
      <w:r>
        <w:t xml:space="preserve"> </w:t>
      </w:r>
      <w:r>
        <w:t xml:space="preserve">and</w:t>
      </w:r>
      <w:r>
        <w:t xml:space="preserve"> </w:t>
      </w:r>
      <w:r>
        <w:t xml:space="preserve">robustness),</w:t>
      </w:r>
      <w:r>
        <w:t xml:space="preserve"> </w:t>
      </w:r>
      <w:r>
        <w:t xml:space="preserve">C</w:t>
      </w:r>
      <w:r>
        <w:t xml:space="preserve"> </w:t>
      </w:r>
      <w:r>
        <w:t xml:space="preserve">(sampling</w:t>
      </w:r>
      <w:r>
        <w:t xml:space="preserve"> </w:t>
      </w:r>
      <w:r>
        <w:t xml:space="preserve">and</w:t>
      </w:r>
      <w:r>
        <w:t xml:space="preserve"> </w:t>
      </w:r>
      <w:r>
        <w:t xml:space="preserve">timeline).</w:t>
      </w:r>
      <w:r>
        <w:t xml:space="preserve"> </w:t>
      </w:r>
      <w:r>
        <w:t xml:space="preserve">Appendices</w:t>
      </w:r>
      <w:r>
        <w:t xml:space="preserve"> </w:t>
      </w:r>
      <w:r>
        <w:t xml:space="preserve">do</w:t>
      </w:r>
      <w:r>
        <w:t xml:space="preserve"> </w:t>
      </w:r>
      <w:r>
        <w:t xml:space="preserve">not</w:t>
      </w:r>
      <w:r>
        <w:t xml:space="preserve"> </w:t>
      </w:r>
      <w:r>
        <w:t xml:space="preserve">count</w:t>
      </w:r>
      <w:r>
        <w:t xml:space="preserve"> </w:t>
      </w:r>
      <w:r>
        <w:t xml:space="preserve">toward</w:t>
      </w:r>
      <w:r>
        <w:t xml:space="preserve"> </w:t>
      </w:r>
      <w:r>
        <w:t xml:space="preserve">the</w:t>
      </w:r>
      <w:r>
        <w:t xml:space="preserve"> </w:t>
      </w:r>
      <w:r>
        <w:t xml:space="preserve">STF</w:t>
      </w:r>
      <w:r>
        <w:t xml:space="preserve"> </w:t>
      </w:r>
      <w:r>
        <w:t xml:space="preserve">word</w:t>
      </w:r>
      <w:r>
        <w:t xml:space="preserve"> </w:t>
      </w:r>
      <w:r>
        <w:t xml:space="preserve">limit.</w:t>
      </w:r>
    </w:p>
    <w:p>
      <w:pPr>
        <w:pStyle w:val="Author"/>
      </w:pPr>
    </w:p>
    <w:bookmarkStart w:id="22" w:name="appendix-a-measures-and-calibration"/>
    <w:p>
      <w:pPr>
        <w:pStyle w:val="Heading1"/>
      </w:pPr>
      <w:r>
        <w:t xml:space="preserve">Appendix A: Measures and calibration</w:t>
      </w:r>
    </w:p>
    <w:bookmarkStart w:id="20" w:name="a.1-sets-raw-measures-and-anchors"/>
    <w:p>
      <w:pPr>
        <w:pStyle w:val="Heading2"/>
      </w:pPr>
      <w:r>
        <w:t xml:space="preserve">A.1 Sets, raw measures and anchors</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Set (code)</w:t>
            </w:r>
          </w:p>
        </w:tc>
        <w:tc>
          <w:tcPr/>
          <w:p>
            <w:pPr>
              <w:pStyle w:val="Compact"/>
              <w:jc w:val="left"/>
            </w:pPr>
            <w:r>
              <w:t xml:space="preserve">Role</w:t>
            </w:r>
          </w:p>
        </w:tc>
        <w:tc>
          <w:tcPr/>
          <w:p>
            <w:pPr>
              <w:pStyle w:val="Compact"/>
              <w:jc w:val="left"/>
            </w:pPr>
            <w:r>
              <w:t xml:space="preserve">Raw measure</w:t>
            </w:r>
          </w:p>
        </w:tc>
        <w:tc>
          <w:tcPr/>
          <w:p>
            <w:pPr>
              <w:pStyle w:val="Compact"/>
              <w:jc w:val="left"/>
            </w:pPr>
            <w:r>
              <w:t xml:space="preserve">Full out</w:t>
            </w:r>
          </w:p>
        </w:tc>
        <w:tc>
          <w:tcPr/>
          <w:p>
            <w:pPr>
              <w:pStyle w:val="Compact"/>
              <w:jc w:val="left"/>
            </w:pPr>
            <w:r>
              <w:t xml:space="preserve">Crossover</w:t>
            </w:r>
          </w:p>
        </w:tc>
        <w:tc>
          <w:tcPr/>
          <w:p>
            <w:pPr>
              <w:pStyle w:val="Compact"/>
              <w:jc w:val="left"/>
            </w:pPr>
            <w:r>
              <w:t xml:space="preserve">Full in</w:t>
            </w:r>
          </w:p>
        </w:tc>
        <w:tc>
          <w:tcPr/>
          <w:p>
            <w:pPr>
              <w:pStyle w:val="Compact"/>
              <w:jc w:val="left"/>
            </w:pPr>
            <w:r>
              <w:t xml:space="preserve">Anchor rationale</w:t>
            </w:r>
          </w:p>
        </w:tc>
      </w:tr>
      <w:tr>
        <w:tc>
          <w:tcPr/>
          <w:p>
            <w:pPr>
              <w:pStyle w:val="Compact"/>
              <w:jc w:val="left"/>
            </w:pPr>
            <w:r>
              <w:t xml:space="preserve">DPP readiness (DPR)</w:t>
            </w:r>
          </w:p>
        </w:tc>
        <w:tc>
          <w:tcPr/>
          <w:p>
            <w:pPr>
              <w:pStyle w:val="Compact"/>
              <w:jc w:val="left"/>
            </w:pPr>
            <w:r>
              <w:t xml:space="preserve">Outcome 1</w:t>
            </w:r>
          </w:p>
        </w:tc>
        <w:tc>
          <w:tcPr/>
          <w:p>
            <w:pPr>
              <w:pStyle w:val="Compact"/>
              <w:jc w:val="left"/>
            </w:pPr>
            <w:r>
              <w:t xml:space="preserve">Data categories supplied today (0–7)</w:t>
            </w:r>
          </w:p>
        </w:tc>
        <w:tc>
          <w:tcPr/>
          <w:p>
            <w:pPr>
              <w:pStyle w:val="Compact"/>
              <w:jc w:val="left"/>
            </w:pPr>
            <w:r>
              <w:t xml:space="preserve">1</w:t>
            </w:r>
          </w:p>
        </w:tc>
        <w:tc>
          <w:tcPr/>
          <w:p>
            <w:pPr>
              <w:pStyle w:val="Compact"/>
              <w:jc w:val="left"/>
            </w:pPr>
            <w:r>
              <w:t xml:space="preserve">3.5</w:t>
            </w:r>
          </w:p>
        </w:tc>
        <w:tc>
          <w:tcPr/>
          <w:p>
            <w:pPr>
              <w:pStyle w:val="Compact"/>
              <w:jc w:val="left"/>
            </w:pPr>
            <w:r>
              <w:t xml:space="preserve">6</w:t>
            </w:r>
          </w:p>
        </w:tc>
        <w:tc>
          <w:tcPr/>
          <w:p>
            <w:pPr>
              <w:pStyle w:val="Compact"/>
              <w:jc w:val="left"/>
            </w:pPr>
            <w:r>
              <w:t xml:space="preserve">Six or seven categories ≈ the textile DPP data set expected by EPRS (2024); one or none = no capability</w:t>
            </w:r>
          </w:p>
        </w:tc>
      </w:tr>
      <w:tr>
        <w:tc>
          <w:tcPr/>
          <w:p>
            <w:pPr>
              <w:pStyle w:val="Compact"/>
              <w:jc w:val="left"/>
            </w:pPr>
            <w:r>
              <w:t xml:space="preserve">Circular capability (CSC)</w:t>
            </w:r>
          </w:p>
        </w:tc>
        <w:tc>
          <w:tcPr/>
          <w:p>
            <w:pPr>
              <w:pStyle w:val="Compact"/>
              <w:jc w:val="left"/>
            </w:pPr>
            <w:r>
              <w:t xml:space="preserve">Outcome 2</w:t>
            </w:r>
          </w:p>
        </w:tc>
        <w:tc>
          <w:tcPr/>
          <w:p>
            <w:pPr>
              <w:pStyle w:val="Compact"/>
              <w:jc w:val="left"/>
            </w:pPr>
            <w:r>
              <w:t xml:space="preserve">Practices in place (0–5)</w:t>
            </w:r>
          </w:p>
        </w:tc>
        <w:tc>
          <w:tcPr/>
          <w:p>
            <w:pPr>
              <w:pStyle w:val="Compact"/>
              <w:jc w:val="left"/>
            </w:pPr>
            <w:r>
              <w:t xml:space="preserve">0</w:t>
            </w:r>
          </w:p>
        </w:tc>
        <w:tc>
          <w:tcPr/>
          <w:p>
            <w:pPr>
              <w:pStyle w:val="Compact"/>
              <w:jc w:val="left"/>
            </w:pPr>
            <w:r>
              <w:t xml:space="preserve">2.5</w:t>
            </w:r>
          </w:p>
        </w:tc>
        <w:tc>
          <w:tcPr/>
          <w:p>
            <w:pPr>
              <w:pStyle w:val="Compact"/>
              <w:jc w:val="left"/>
            </w:pPr>
            <w:r>
              <w:t xml:space="preserve">4</w:t>
            </w:r>
          </w:p>
        </w:tc>
        <w:tc>
          <w:tcPr/>
          <w:p>
            <w:pPr>
              <w:pStyle w:val="Compact"/>
              <w:jc w:val="left"/>
            </w:pPr>
            <w:r>
              <w:t xml:space="preserve">Four or more practices = circularity built into routine; none = linear</w:t>
            </w:r>
          </w:p>
        </w:tc>
      </w:tr>
      <w:tr>
        <w:tc>
          <w:tcPr/>
          <w:p>
            <w:pPr>
              <w:pStyle w:val="Compact"/>
              <w:jc w:val="left"/>
            </w:pPr>
            <w:r>
              <w:t xml:space="preserve">Digital traceability (DTC)</w:t>
            </w:r>
          </w:p>
        </w:tc>
        <w:tc>
          <w:tcPr/>
          <w:p>
            <w:pPr>
              <w:pStyle w:val="Compact"/>
              <w:jc w:val="left"/>
            </w:pPr>
            <w:r>
              <w:t xml:space="preserve">Condition</w:t>
            </w:r>
          </w:p>
        </w:tc>
        <w:tc>
          <w:tcPr/>
          <w:p>
            <w:pPr>
              <w:pStyle w:val="Compact"/>
              <w:jc w:val="left"/>
            </w:pPr>
            <w:r>
              <w:t xml:space="preserve">Digital practices (0–5)</w:t>
            </w:r>
          </w:p>
        </w:tc>
        <w:tc>
          <w:tcPr/>
          <w:p>
            <w:pPr>
              <w:pStyle w:val="Compact"/>
              <w:jc w:val="left"/>
            </w:pPr>
            <w:r>
              <w:t xml:space="preserve">1</w:t>
            </w:r>
          </w:p>
        </w:tc>
        <w:tc>
          <w:tcPr/>
          <w:p>
            <w:pPr>
              <w:pStyle w:val="Compact"/>
              <w:jc w:val="left"/>
            </w:pPr>
            <w:r>
              <w:t xml:space="preserve">2.5</w:t>
            </w:r>
          </w:p>
        </w:tc>
        <w:tc>
          <w:tcPr/>
          <w:p>
            <w:pPr>
              <w:pStyle w:val="Compact"/>
              <w:jc w:val="left"/>
            </w:pPr>
            <w:r>
              <w:t xml:space="preserve">4</w:t>
            </w:r>
          </w:p>
        </w:tc>
        <w:tc>
          <w:tcPr/>
          <w:p>
            <w:pPr>
              <w:pStyle w:val="Compact"/>
              <w:jc w:val="left"/>
            </w:pPr>
            <w:r>
              <w:t xml:space="preserve">Four or more = integrated digital records; one or none = paper/spreadsheet</w:t>
            </w:r>
          </w:p>
        </w:tc>
      </w:tr>
      <w:tr>
        <w:tc>
          <w:tcPr/>
          <w:p>
            <w:pPr>
              <w:pStyle w:val="Compact"/>
              <w:jc w:val="left"/>
            </w:pPr>
            <w:r>
              <w:t xml:space="preserve">Vertical integration (VI)</w:t>
            </w:r>
          </w:p>
        </w:tc>
        <w:tc>
          <w:tcPr/>
          <w:p>
            <w:pPr>
              <w:pStyle w:val="Compact"/>
              <w:jc w:val="left"/>
            </w:pPr>
            <w:r>
              <w:t xml:space="preserve">Condition</w:t>
            </w:r>
          </w:p>
        </w:tc>
        <w:tc>
          <w:tcPr/>
          <w:p>
            <w:pPr>
              <w:pStyle w:val="Compact"/>
              <w:jc w:val="left"/>
            </w:pPr>
            <w:r>
              <w:t xml:space="preserve">Stages in-house (1–6)</w:t>
            </w:r>
          </w:p>
        </w:tc>
        <w:tc>
          <w:tcPr/>
          <w:p>
            <w:pPr>
              <w:pStyle w:val="Compact"/>
              <w:jc w:val="left"/>
            </w:pPr>
            <w:r>
              <w:t xml:space="preserve">1</w:t>
            </w:r>
          </w:p>
        </w:tc>
        <w:tc>
          <w:tcPr/>
          <w:p>
            <w:pPr>
              <w:pStyle w:val="Compact"/>
              <w:jc w:val="left"/>
            </w:pPr>
            <w:r>
              <w:t xml:space="preserve">3.5</w:t>
            </w:r>
          </w:p>
        </w:tc>
        <w:tc>
          <w:tcPr/>
          <w:p>
            <w:pPr>
              <w:pStyle w:val="Compact"/>
              <w:jc w:val="left"/>
            </w:pPr>
            <w:r>
              <w:t xml:space="preserve">5</w:t>
            </w:r>
          </w:p>
        </w:tc>
        <w:tc>
          <w:tcPr/>
          <w:p>
            <w:pPr>
              <w:pStyle w:val="Compact"/>
              <w:jc w:val="left"/>
            </w:pPr>
            <w:r>
              <w:t xml:space="preserve">Five or more = mill-to-garment; one = garment-only or trading</w:t>
            </w:r>
          </w:p>
        </w:tc>
      </w:tr>
      <w:tr>
        <w:tc>
          <w:tcPr/>
          <w:p>
            <w:pPr>
              <w:pStyle w:val="Compact"/>
              <w:jc w:val="left"/>
            </w:pPr>
            <w:r>
              <w:t xml:space="preserve">Multi-tier data sharing (MDS)</w:t>
            </w:r>
          </w:p>
        </w:tc>
        <w:tc>
          <w:tcPr/>
          <w:p>
            <w:pPr>
              <w:pStyle w:val="Compact"/>
              <w:jc w:val="left"/>
            </w:pPr>
            <w:r>
              <w:t xml:space="preserve">Condition</w:t>
            </w:r>
          </w:p>
        </w:tc>
        <w:tc>
          <w:tcPr/>
          <w:p>
            <w:pPr>
              <w:pStyle w:val="Compact"/>
              <w:jc w:val="left"/>
            </w:pPr>
            <w:r>
              <w:t xml:space="preserve">% of key suppliers sharing data</w:t>
            </w:r>
          </w:p>
        </w:tc>
        <w:tc>
          <w:tcPr/>
          <w:p>
            <w:pPr>
              <w:pStyle w:val="Compact"/>
              <w:jc w:val="left"/>
            </w:pPr>
            <w:r>
              <w:t xml:space="preserve">10</w:t>
            </w:r>
          </w:p>
        </w:tc>
        <w:tc>
          <w:tcPr/>
          <w:p>
            <w:pPr>
              <w:pStyle w:val="Compact"/>
              <w:jc w:val="left"/>
            </w:pPr>
            <w:r>
              <w:t xml:space="preserve">50</w:t>
            </w:r>
          </w:p>
        </w:tc>
        <w:tc>
          <w:tcPr/>
          <w:p>
            <w:pPr>
              <w:pStyle w:val="Compact"/>
              <w:jc w:val="left"/>
            </w:pPr>
            <w:r>
              <w:t xml:space="preserve">90</w:t>
            </w:r>
          </w:p>
        </w:tc>
        <w:tc>
          <w:tcPr/>
          <w:p>
            <w:pPr>
              <w:pStyle w:val="Compact"/>
              <w:jc w:val="left"/>
            </w:pPr>
            <w:r>
              <w:t xml:space="preserve">Most suppliers sharing vs. almost none</w:t>
            </w:r>
          </w:p>
        </w:tc>
      </w:tr>
      <w:tr>
        <w:tc>
          <w:tcPr/>
          <w:p>
            <w:pPr>
              <w:pStyle w:val="Compact"/>
              <w:jc w:val="left"/>
            </w:pPr>
            <w:r>
              <w:t xml:space="preserve">Buyer pressure (BTP)</w:t>
            </w:r>
          </w:p>
        </w:tc>
        <w:tc>
          <w:tcPr/>
          <w:p>
            <w:pPr>
              <w:pStyle w:val="Compact"/>
              <w:jc w:val="left"/>
            </w:pPr>
            <w:r>
              <w:t xml:space="preserve">Condition</w:t>
            </w:r>
          </w:p>
        </w:tc>
        <w:tc>
          <w:tcPr/>
          <w:p>
            <w:pPr>
              <w:pStyle w:val="Compact"/>
              <w:jc w:val="left"/>
            </w:pPr>
            <w:r>
              <w:t xml:space="preserve">Mean of 3 items (1–7)</w:t>
            </w:r>
          </w:p>
        </w:tc>
        <w:tc>
          <w:tcPr/>
          <w:p>
            <w:pPr>
              <w:pStyle w:val="Compact"/>
              <w:jc w:val="left"/>
            </w:pPr>
            <w:r>
              <w:t xml:space="preserve">2</w:t>
            </w:r>
          </w:p>
        </w:tc>
        <w:tc>
          <w:tcPr/>
          <w:p>
            <w:pPr>
              <w:pStyle w:val="Compact"/>
              <w:jc w:val="left"/>
            </w:pPr>
            <w:r>
              <w:t xml:space="preserve">4</w:t>
            </w:r>
          </w:p>
        </w:tc>
        <w:tc>
          <w:tcPr/>
          <w:p>
            <w:pPr>
              <w:pStyle w:val="Compact"/>
              <w:jc w:val="left"/>
            </w:pPr>
            <w:r>
              <w:t xml:space="preserve">6</w:t>
            </w:r>
          </w:p>
        </w:tc>
        <w:tc>
          <w:tcPr/>
          <w:p>
            <w:pPr>
              <w:pStyle w:val="Compact"/>
              <w:jc w:val="left"/>
            </w:pPr>
            <w:r>
              <w:t xml:space="preserve">Scale verbal anchors:</w:t>
            </w:r>
            <w:r>
              <w:t xml:space="preserve"> </w:t>
            </w:r>
            <w:r>
              <w:t xml:space="preserve">“</w:t>
            </w:r>
            <w:r>
              <w:t xml:space="preserve">disagree</w:t>
            </w:r>
            <w:r>
              <w:t xml:space="preserve">”</w:t>
            </w:r>
            <w:r>
              <w:t xml:space="preserve"> </w:t>
            </w:r>
            <w:r>
              <w:t xml:space="preserve">(2), neutral (4),</w:t>
            </w:r>
            <w:r>
              <w:t xml:space="preserve"> </w:t>
            </w:r>
            <w:r>
              <w:t xml:space="preserve">“</w:t>
            </w:r>
            <w:r>
              <w:t xml:space="preserve">agree</w:t>
            </w:r>
            <w:r>
              <w:t xml:space="preserve">”</w:t>
            </w:r>
            <w:r>
              <w:t xml:space="preserve"> </w:t>
            </w:r>
            <w:r>
              <w:t xml:space="preserve">(6)</w:t>
            </w:r>
          </w:p>
        </w:tc>
      </w:tr>
      <w:tr>
        <w:tc>
          <w:tcPr/>
          <w:p>
            <w:pPr>
              <w:pStyle w:val="Compact"/>
              <w:jc w:val="left"/>
            </w:pPr>
            <w:r>
              <w:t xml:space="preserve">Data-appropriation concern (DAC)</w:t>
            </w:r>
          </w:p>
        </w:tc>
        <w:tc>
          <w:tcPr/>
          <w:p>
            <w:pPr>
              <w:pStyle w:val="Compact"/>
              <w:jc w:val="left"/>
            </w:pPr>
            <w:r>
              <w:t xml:space="preserve">Condition</w:t>
            </w:r>
          </w:p>
        </w:tc>
        <w:tc>
          <w:tcPr/>
          <w:p>
            <w:pPr>
              <w:pStyle w:val="Compact"/>
              <w:jc w:val="left"/>
            </w:pPr>
            <w:r>
              <w:t xml:space="preserve">Mean of 3 items (1–7)</w:t>
            </w:r>
          </w:p>
        </w:tc>
        <w:tc>
          <w:tcPr/>
          <w:p>
            <w:pPr>
              <w:pStyle w:val="Compact"/>
              <w:jc w:val="left"/>
            </w:pPr>
            <w:r>
              <w:t xml:space="preserve">2</w:t>
            </w:r>
          </w:p>
        </w:tc>
        <w:tc>
          <w:tcPr/>
          <w:p>
            <w:pPr>
              <w:pStyle w:val="Compact"/>
              <w:jc w:val="left"/>
            </w:pPr>
            <w:r>
              <w:t xml:space="preserve">4</w:t>
            </w:r>
          </w:p>
        </w:tc>
        <w:tc>
          <w:tcPr/>
          <w:p>
            <w:pPr>
              <w:pStyle w:val="Compact"/>
              <w:jc w:val="left"/>
            </w:pPr>
            <w:r>
              <w:t xml:space="preserve">6</w:t>
            </w:r>
          </w:p>
        </w:tc>
        <w:tc>
          <w:tcPr/>
          <w:p>
            <w:pPr>
              <w:pStyle w:val="Compact"/>
              <w:jc w:val="left"/>
            </w:pPr>
            <w:r>
              <w:t xml:space="preserve">As above</w:t>
            </w:r>
          </w:p>
        </w:tc>
      </w:tr>
      <w:tr>
        <w:tc>
          <w:tcPr/>
          <w:p>
            <w:pPr>
              <w:pStyle w:val="Compact"/>
              <w:jc w:val="left"/>
            </w:pPr>
            <w:r>
              <w:t xml:space="preserve">Certifications (CERT)</w:t>
            </w:r>
          </w:p>
        </w:tc>
        <w:tc>
          <w:tcPr/>
          <w:p>
            <w:pPr>
              <w:pStyle w:val="Compact"/>
              <w:jc w:val="left"/>
            </w:pPr>
            <w:r>
              <w:t xml:space="preserve">Robustness only</w:t>
            </w:r>
          </w:p>
        </w:tc>
        <w:tc>
          <w:tcPr/>
          <w:p>
            <w:pPr>
              <w:pStyle w:val="Compact"/>
              <w:jc w:val="left"/>
            </w:pPr>
            <w:r>
              <w:t xml:space="preserve">Number held</w:t>
            </w:r>
          </w:p>
        </w:tc>
        <w:tc>
          <w:tcPr/>
          <w:p>
            <w:pPr>
              <w:pStyle w:val="Compact"/>
              <w:jc w:val="left"/>
            </w:pPr>
            <w:r>
              <w:t xml:space="preserve">0</w:t>
            </w:r>
          </w:p>
        </w:tc>
        <w:tc>
          <w:tcPr/>
          <w:p>
            <w:pPr>
              <w:pStyle w:val="Compact"/>
              <w:jc w:val="left"/>
            </w:pPr>
            <w:r>
              <w:t xml:space="preserve">1.5</w:t>
            </w:r>
          </w:p>
        </w:tc>
        <w:tc>
          <w:tcPr/>
          <w:p>
            <w:pPr>
              <w:pStyle w:val="Compact"/>
              <w:jc w:val="left"/>
            </w:pPr>
            <w:r>
              <w:t xml:space="preserve">3</w:t>
            </w:r>
          </w:p>
        </w:tc>
        <w:tc>
          <w:tcPr/>
          <w:p>
            <w:pPr>
              <w:pStyle w:val="Compact"/>
              <w:jc w:val="left"/>
            </w:pPr>
            <w:r>
              <w:t xml:space="preserve">Swapped in for BTP in robustness check R4</w:t>
            </w:r>
          </w:p>
        </w:tc>
      </w:tr>
    </w:tbl>
    <w:p>
      <w:pPr>
        <w:pStyle w:val="BodyText"/>
      </w:pPr>
      <w:r>
        <w:t xml:space="preserve">Calibration uses the direct method (logistic transformation; Ragin, 2008):</w:t>
      </w:r>
      <w:r>
        <w:t xml:space="preserve"> </w:t>
      </w:r>
      <w:r>
        <w:rPr>
          <w:rStyle w:val="VerbatimChar"/>
        </w:rPr>
        <w:t xml:space="preserve">QCA::calibrate(x, type = "fuzzy", thresholds = "e=…, c=…, i=…")</w:t>
      </w:r>
      <w:r>
        <w:t xml:space="preserve">. Scores of exactly 0.5 are set to 0.501. Raw distributions (histograms) and the share of cases above each crossover are reported in Table A2, so that readers can judge whether each anchor separates cases meaningfully.</w:t>
      </w:r>
    </w:p>
    <w:bookmarkEnd w:id="20"/>
    <w:bookmarkStart w:id="21" w:name="X95dffed2b6951b5cfab620a61752268e6cd59f0"/>
    <w:p>
      <w:pPr>
        <w:pStyle w:val="Heading2"/>
      </w:pPr>
      <w:r>
        <w:t xml:space="preserve">A.2 Measurement quality without large-sample factor analysis</w:t>
      </w:r>
    </w:p>
    <w:p>
      <w:pPr>
        <w:pStyle w:val="FirstParagraph"/>
      </w:pPr>
      <w:r>
        <w:t xml:space="preserve">fsQCA does not use latent-variable estimation, and with 40–60 firms an EFA or CFA would not be stable. Measurement quality is established instead by:</w:t>
      </w:r>
    </w:p>
    <w:p>
      <w:pPr>
        <w:numPr>
          <w:ilvl w:val="0"/>
          <w:numId w:val="1001"/>
        </w:numPr>
        <w:pStyle w:val="Compact"/>
      </w:pPr>
      <w:r>
        <w:rPr>
          <w:bCs/>
          <w:b/>
        </w:rPr>
        <w:t xml:space="preserve">Content validity:</w:t>
      </w:r>
      <w:r>
        <w:t xml:space="preserve"> </w:t>
      </w:r>
      <w:r>
        <w:t xml:space="preserve">an expert panel (5–6 exporters, brand sourcing managers and academics) reviews every item and anchor (Nov 2026).</w:t>
      </w:r>
    </w:p>
    <w:p>
      <w:pPr>
        <w:numPr>
          <w:ilvl w:val="0"/>
          <w:numId w:val="1001"/>
        </w:numPr>
        <w:pStyle w:val="Compact"/>
      </w:pPr>
      <w:r>
        <w:rPr>
          <w:bCs/>
          <w:b/>
        </w:rPr>
        <w:t xml:space="preserve">Factual items:</w:t>
      </w:r>
      <w:r>
        <w:t xml:space="preserve"> </w:t>
      </w:r>
      <w:r>
        <w:t xml:space="preserve">five of the seven sets are checklists of current practice or counts, not attitudes, so they don’t depend on latent constructs. Sample documents are sighted where possible, and the share verified is reported.</w:t>
      </w:r>
    </w:p>
    <w:p>
      <w:pPr>
        <w:numPr>
          <w:ilvl w:val="0"/>
          <w:numId w:val="1001"/>
        </w:numPr>
        <w:pStyle w:val="Compact"/>
      </w:pPr>
      <w:r>
        <w:rPr>
          <w:bCs/>
          <w:b/>
        </w:rPr>
        <w:t xml:space="preserve">Short scales (BTP, DAC):</w:t>
      </w:r>
      <w:r>
        <w:t xml:space="preserve"> </w:t>
      </w:r>
      <w:r>
        <w:t xml:space="preserve">Cronbach’s α and inter-item correlations are reported. If α &lt; 0.70, the strongest single item is used and this is reported.</w:t>
      </w:r>
    </w:p>
    <w:p>
      <w:pPr>
        <w:numPr>
          <w:ilvl w:val="0"/>
          <w:numId w:val="1001"/>
        </w:numPr>
        <w:pStyle w:val="Compact"/>
      </w:pPr>
      <w:r>
        <w:rPr>
          <w:bCs/>
          <w:b/>
        </w:rPr>
        <w:t xml:space="preserve">Researcher triangulation:</w:t>
      </w:r>
      <w:r>
        <w:t xml:space="preserve"> </w:t>
      </w:r>
      <w:r>
        <w:t xml:space="preserve">the two-researcher protocol and the open-question notes are used to check implausible answer patterns.</w:t>
      </w:r>
    </w:p>
    <w:bookmarkEnd w:id="21"/>
    <w:bookmarkEnd w:id="22"/>
    <w:bookmarkStart w:id="28" w:name="appendix-b-fsqca-protocol"/>
    <w:p>
      <w:pPr>
        <w:pStyle w:val="Heading1"/>
      </w:pPr>
      <w:r>
        <w:t xml:space="preserve">Appendix B: fsQCA protocol</w:t>
      </w:r>
    </w:p>
    <w:bookmarkStart w:id="23" w:name="b.1-necessity-analysis-run-first"/>
    <w:p>
      <w:pPr>
        <w:pStyle w:val="Heading2"/>
      </w:pPr>
      <w:r>
        <w:t xml:space="preserve">B.1 Necessity analysis (run first)</w:t>
      </w:r>
    </w:p>
    <w:p>
      <w:pPr>
        <w:numPr>
          <w:ilvl w:val="0"/>
          <w:numId w:val="1002"/>
        </w:numPr>
        <w:pStyle w:val="Compact"/>
      </w:pPr>
      <w:r>
        <w:t xml:space="preserve">Each condition and its negation is tested for high and low readiness, and for high and low circular capability</w:t>
      </w:r>
    </w:p>
    <w:p>
      <w:pPr>
        <w:numPr>
          <w:ilvl w:val="0"/>
          <w:numId w:val="1002"/>
        </w:numPr>
        <w:pStyle w:val="Compact"/>
      </w:pPr>
      <w:r>
        <w:t xml:space="preserve">A condition counts as necessary if consistency ≥ 0.90 and coverage is not trivial (relevance of necessity, RoN ≥ 0.60) (Schneider &amp; Wagemann, 2012)</w:t>
      </w:r>
    </w:p>
    <w:p>
      <w:pPr>
        <w:numPr>
          <w:ilvl w:val="0"/>
          <w:numId w:val="1002"/>
        </w:numPr>
        <w:pStyle w:val="Compact"/>
      </w:pPr>
      <w:r>
        <w:t xml:space="preserve">Optional: necessary condition analysis (NCA) is reported alongside for necessity</w:t>
      </w:r>
      <w:r>
        <w:t xml:space="preserve"> </w:t>
      </w:r>
      <w:r>
        <w:rPr>
          <w:iCs/>
          <w:i/>
        </w:rPr>
        <w:t xml:space="preserve">in degree</w:t>
      </w:r>
    </w:p>
    <w:bookmarkEnd w:id="23"/>
    <w:bookmarkStart w:id="24" w:name="b.2-sufficiency-analysis"/>
    <w:p>
      <w:pPr>
        <w:pStyle w:val="Heading2"/>
      </w:pPr>
      <w:r>
        <w:t xml:space="preserve">B.2 Sufficiency analysis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Step</w:t>
            </w:r>
          </w:p>
        </w:tc>
        <w:tc>
          <w:tcPr/>
          <w:p>
            <w:pPr>
              <w:pStyle w:val="Compact"/>
              <w:jc w:val="left"/>
            </w:pPr>
            <w:r>
              <w:t xml:space="preserve">Setting</w:t>
            </w:r>
          </w:p>
        </w:tc>
      </w:tr>
      <w:tr>
        <w:tc>
          <w:tcPr/>
          <w:p>
            <w:pPr>
              <w:pStyle w:val="Compact"/>
              <w:jc w:val="left"/>
            </w:pPr>
            <w:r>
              <w:t xml:space="preserve">Truth table</w:t>
            </w:r>
          </w:p>
        </w:tc>
        <w:tc>
          <w:tcPr/>
          <w:p>
            <w:pPr>
              <w:pStyle w:val="Compact"/>
              <w:jc w:val="left"/>
            </w:pPr>
            <w:r>
              <w:t xml:space="preserve">5 conditions → 32 rows; the number of rows with ≥ 1 case is reported</w:t>
            </w:r>
          </w:p>
        </w:tc>
      </w:tr>
      <w:tr>
        <w:tc>
          <w:tcPr/>
          <w:p>
            <w:pPr>
              <w:pStyle w:val="Compact"/>
              <w:jc w:val="left"/>
            </w:pPr>
            <w:r>
              <w:t xml:space="preserve">Frequency threshold</w:t>
            </w:r>
          </w:p>
        </w:tc>
        <w:tc>
          <w:tcPr/>
          <w:p>
            <w:pPr>
              <w:pStyle w:val="Compact"/>
              <w:jc w:val="left"/>
            </w:pPr>
            <w:r>
              <w:t xml:space="preserve">1 case (small-N); robustness at 2</w:t>
            </w:r>
          </w:p>
        </w:tc>
      </w:tr>
      <w:tr>
        <w:tc>
          <w:tcPr/>
          <w:p>
            <w:pPr>
              <w:pStyle w:val="Compact"/>
              <w:jc w:val="left"/>
            </w:pPr>
            <w:r>
              <w:t xml:space="preserve">Raw consistency</w:t>
            </w:r>
          </w:p>
        </w:tc>
        <w:tc>
          <w:tcPr/>
          <w:p>
            <w:pPr>
              <w:pStyle w:val="Compact"/>
              <w:jc w:val="left"/>
            </w:pPr>
            <w:r>
              <w:t xml:space="preserve">≥ 0.80</w:t>
            </w:r>
          </w:p>
        </w:tc>
      </w:tr>
      <w:tr>
        <w:tc>
          <w:tcPr/>
          <w:p>
            <w:pPr>
              <w:pStyle w:val="Compact"/>
              <w:jc w:val="left"/>
            </w:pPr>
            <w:r>
              <w:t xml:space="preserve">PRI consistency</w:t>
            </w:r>
          </w:p>
        </w:tc>
        <w:tc>
          <w:tcPr/>
          <w:p>
            <w:pPr>
              <w:pStyle w:val="Compact"/>
              <w:jc w:val="left"/>
            </w:pPr>
            <w:r>
              <w:t xml:space="preserve">≥ 0.70 (rows with high raw but low PRI are treated as contradictory and coded 0)</w:t>
            </w:r>
          </w:p>
        </w:tc>
      </w:tr>
      <w:tr>
        <w:tc>
          <w:tcPr/>
          <w:p>
            <w:pPr>
              <w:pStyle w:val="Compact"/>
              <w:jc w:val="left"/>
            </w:pPr>
            <w:r>
              <w:t xml:space="preserve">Solutions</w:t>
            </w:r>
          </w:p>
        </w:tc>
        <w:tc>
          <w:tcPr/>
          <w:p>
            <w:pPr>
              <w:pStyle w:val="Compact"/>
              <w:jc w:val="left"/>
            </w:pPr>
            <w:r>
              <w:t xml:space="preserve">Conservative, intermediate (reported) and parsimonious; core conditions = in both the parsimonious and intermediate solutions (Fiss, 2011)</w:t>
            </w:r>
          </w:p>
        </w:tc>
      </w:tr>
      <w:tr>
        <w:tc>
          <w:tcPr/>
          <w:p>
            <w:pPr>
              <w:pStyle w:val="Compact"/>
              <w:jc w:val="left"/>
            </w:pPr>
            <w:r>
              <w:t xml:space="preserve">Directional expectations (high DPR)</w:t>
            </w:r>
          </w:p>
        </w:tc>
        <w:tc>
          <w:tcPr/>
          <w:p>
            <w:pPr>
              <w:pStyle w:val="Compact"/>
              <w:jc w:val="left"/>
            </w:pPr>
            <w:r>
              <w:t xml:space="preserve">DTC present; VI present; MDS present; BTP present; DAC absent</w:t>
            </w:r>
          </w:p>
        </w:tc>
      </w:tr>
      <w:tr>
        <w:tc>
          <w:tcPr/>
          <w:p>
            <w:pPr>
              <w:pStyle w:val="Compact"/>
              <w:jc w:val="left"/>
            </w:pPr>
            <w:r>
              <w:t xml:space="preserve">Directional expectations (low DPR)</w:t>
            </w:r>
          </w:p>
        </w:tc>
        <w:tc>
          <w:tcPr/>
          <w:p>
            <w:pPr>
              <w:pStyle w:val="Compact"/>
              <w:jc w:val="left"/>
            </w:pPr>
            <w:r>
              <w:t xml:space="preserve">DTC absent; VI absent; MDS absent; BTP present (pressure without capacity); DAC present</w:t>
            </w:r>
          </w:p>
        </w:tc>
      </w:tr>
      <w:tr>
        <w:tc>
          <w:tcPr/>
          <w:p>
            <w:pPr>
              <w:pStyle w:val="Compact"/>
              <w:jc w:val="left"/>
            </w:pPr>
            <w:r>
              <w:t xml:space="preserve">Untenable assumptions</w:t>
            </w:r>
          </w:p>
        </w:tc>
        <w:tc>
          <w:tcPr/>
          <w:p>
            <w:pPr>
              <w:pStyle w:val="Compact"/>
              <w:jc w:val="left"/>
            </w:pPr>
            <w:r>
              <w:t xml:space="preserve">Checked with</w:t>
            </w:r>
            <w:r>
              <w:t xml:space="preserve"> </w:t>
            </w:r>
            <w:r>
              <w:rPr>
                <w:rStyle w:val="VerbatimChar"/>
              </w:rPr>
              <w:t xml:space="preserve">SetMethods</w:t>
            </w:r>
            <w:r>
              <w:t xml:space="preserve">; no simplifying assumption may contradict P2 (necessity of DTC)</w:t>
            </w:r>
          </w:p>
        </w:tc>
      </w:tr>
      <w:tr>
        <w:tc>
          <w:tcPr/>
          <w:p>
            <w:pPr>
              <w:pStyle w:val="Compact"/>
              <w:jc w:val="left"/>
            </w:pPr>
            <w:r>
              <w:t xml:space="preserve">Outcome 2 (CSC)</w:t>
            </w:r>
          </w:p>
        </w:tc>
        <w:tc>
          <w:tcPr/>
          <w:p>
            <w:pPr>
              <w:pStyle w:val="Compact"/>
              <w:jc w:val="left"/>
            </w:pPr>
            <w:r>
              <w:t xml:space="preserve">Conditions: DPR, VI, MDS, BTP, CERT. P4 is supported if DPR alone is not sufficient (consistency &lt; 0.80) and appears only in conjunction with other conditions</w:t>
            </w:r>
          </w:p>
        </w:tc>
      </w:tr>
    </w:tbl>
    <w:bookmarkEnd w:id="24"/>
    <w:bookmarkStart w:id="25" w:name="Xf80084dc85d381b181506230d869c439b745800"/>
    <w:p>
      <w:pPr>
        <w:pStyle w:val="Heading2"/>
      </w:pPr>
      <w:r>
        <w:t xml:space="preserve">B.3 Robustness (Oana &amp; Schneider-style checks)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Code</w:t>
            </w:r>
          </w:p>
        </w:tc>
        <w:tc>
          <w:tcPr/>
          <w:p>
            <w:pPr>
              <w:pStyle w:val="Compact"/>
              <w:jc w:val="left"/>
            </w:pPr>
            <w:r>
              <w:t xml:space="preserve">Check</w:t>
            </w:r>
          </w:p>
        </w:tc>
      </w:tr>
      <w:tr>
        <w:tc>
          <w:tcPr/>
          <w:p>
            <w:pPr>
              <w:pStyle w:val="Compact"/>
              <w:jc w:val="left"/>
            </w:pPr>
            <w:r>
              <w:t xml:space="preserve">R1</w:t>
            </w:r>
          </w:p>
        </w:tc>
        <w:tc>
          <w:tcPr/>
          <w:p>
            <w:pPr>
              <w:pStyle w:val="Compact"/>
              <w:jc w:val="left"/>
            </w:pPr>
            <w:r>
              <w:t xml:space="preserve">Calibration anchors shifted ±10% of the range</w:t>
            </w:r>
          </w:p>
        </w:tc>
      </w:tr>
      <w:tr>
        <w:tc>
          <w:tcPr/>
          <w:p>
            <w:pPr>
              <w:pStyle w:val="Compact"/>
              <w:jc w:val="left"/>
            </w:pPr>
            <w:r>
              <w:t xml:space="preserve">R2</w:t>
            </w:r>
          </w:p>
        </w:tc>
        <w:tc>
          <w:tcPr/>
          <w:p>
            <w:pPr>
              <w:pStyle w:val="Compact"/>
              <w:jc w:val="left"/>
            </w:pPr>
            <w:r>
              <w:t xml:space="preserve">Raw consistency threshold 0.75 and 0.85</w:t>
            </w:r>
          </w:p>
        </w:tc>
      </w:tr>
      <w:tr>
        <w:tc>
          <w:tcPr/>
          <w:p>
            <w:pPr>
              <w:pStyle w:val="Compact"/>
              <w:jc w:val="left"/>
            </w:pPr>
            <w:r>
              <w:t xml:space="preserve">R3</w:t>
            </w:r>
          </w:p>
        </w:tc>
        <w:tc>
          <w:tcPr/>
          <w:p>
            <w:pPr>
              <w:pStyle w:val="Compact"/>
              <w:jc w:val="left"/>
            </w:pPr>
            <w:r>
              <w:t xml:space="preserve">Frequency threshold 2</w:t>
            </w:r>
          </w:p>
        </w:tc>
      </w:tr>
      <w:tr>
        <w:tc>
          <w:tcPr/>
          <w:p>
            <w:pPr>
              <w:pStyle w:val="Compact"/>
              <w:jc w:val="left"/>
            </w:pPr>
            <w:r>
              <w:t xml:space="preserve">R4</w:t>
            </w:r>
          </w:p>
        </w:tc>
        <w:tc>
          <w:tcPr/>
          <w:p>
            <w:pPr>
              <w:pStyle w:val="Compact"/>
              <w:jc w:val="left"/>
            </w:pPr>
            <w:r>
              <w:t xml:space="preserve">CERT substituted for BTP</w:t>
            </w:r>
          </w:p>
        </w:tc>
      </w:tr>
      <w:tr>
        <w:tc>
          <w:tcPr/>
          <w:p>
            <w:pPr>
              <w:pStyle w:val="Compact"/>
              <w:jc w:val="left"/>
            </w:pPr>
            <w:r>
              <w:t xml:space="preserve">R5</w:t>
            </w:r>
          </w:p>
        </w:tc>
        <w:tc>
          <w:tcPr/>
          <w:p>
            <w:pPr>
              <w:pStyle w:val="Compact"/>
              <w:jc w:val="left"/>
            </w:pPr>
            <w:r>
              <w:t xml:space="preserve">Excluding tier-3/4 firms (yarn and fibre suppliers)</w:t>
            </w:r>
          </w:p>
        </w:tc>
      </w:tr>
      <w:tr>
        <w:tc>
          <w:tcPr/>
          <w:p>
            <w:pPr>
              <w:pStyle w:val="Compact"/>
              <w:jc w:val="left"/>
            </w:pPr>
            <w:r>
              <w:t xml:space="preserve">R6</w:t>
            </w:r>
          </w:p>
        </w:tc>
        <w:tc>
          <w:tcPr/>
          <w:p>
            <w:pPr>
              <w:pStyle w:val="Compact"/>
              <w:jc w:val="left"/>
            </w:pPr>
            <w:r>
              <w:t xml:space="preserve">DPR recomputed without DPR_7 (format/time item)</w:t>
            </w:r>
          </w:p>
        </w:tc>
      </w:tr>
    </w:tbl>
    <w:p>
      <w:pPr>
        <w:pStyle w:val="BodyText"/>
      </w:pPr>
      <w:r>
        <w:t xml:space="preserve">Solutions are compared on fit and on whether the same configurations recur (subset/superset relations reported).</w:t>
      </w:r>
    </w:p>
    <w:bookmarkEnd w:id="25"/>
    <w:bookmarkStart w:id="26" w:name="b.4-common-method-considerations"/>
    <w:p>
      <w:pPr>
        <w:pStyle w:val="Heading2"/>
      </w:pPr>
      <w:r>
        <w:t xml:space="preserve">B.4 Common-method considerations</w:t>
      </w:r>
    </w:p>
    <w:p>
      <w:pPr>
        <w:pStyle w:val="FirstParagraph"/>
      </w:pPr>
      <w:r>
        <w:t xml:space="preserve">A single respondent answers everything in one session. Mitigation: factual checklists for five of seven sets; document sighting; ordering that separates the readiness questions from the concern items; and assured anonymity.</w:t>
      </w:r>
    </w:p>
    <w:bookmarkEnd w:id="26"/>
    <w:bookmarkStart w:id="27" w:name="b.5-software"/>
    <w:p>
      <w:pPr>
        <w:pStyle w:val="Heading2"/>
      </w:pPr>
      <w:r>
        <w:t xml:space="preserve">B.5 Software</w:t>
      </w:r>
    </w:p>
    <w:p>
      <w:pPr>
        <w:pStyle w:val="FirstParagraph"/>
      </w:pPr>
      <w:r>
        <w:t xml:space="preserve">R with the</w:t>
      </w:r>
      <w:r>
        <w:t xml:space="preserve"> </w:t>
      </w:r>
      <w:r>
        <w:rPr>
          <w:rStyle w:val="VerbatimChar"/>
        </w:rPr>
        <w:t xml:space="preserve">QCA</w:t>
      </w:r>
      <w:r>
        <w:t xml:space="preserve"> </w:t>
      </w:r>
      <w:r>
        <w:t xml:space="preserve">(Dusa, 2019) and</w:t>
      </w:r>
      <w:r>
        <w:t xml:space="preserve"> </w:t>
      </w:r>
      <w:r>
        <w:rPr>
          <w:rStyle w:val="VerbatimChar"/>
        </w:rPr>
        <w:t xml:space="preserve">SetMethods</w:t>
      </w:r>
      <w:r>
        <w:t xml:space="preserve"> </w:t>
      </w:r>
      <w:r>
        <w:t xml:space="preserve">packages (script:</w:t>
      </w:r>
      <w:r>
        <w:t xml:space="preserve"> </w:t>
      </w:r>
      <w:r>
        <w:rPr>
          <w:rStyle w:val="VerbatimChar"/>
        </w:rPr>
        <w:t xml:space="preserve">analysis/fsqca.R</w:t>
      </w:r>
      <w:r>
        <w:t xml:space="preserve">), or fsQCA 4.x as a cross-check.</w:t>
      </w:r>
    </w:p>
    <w:bookmarkEnd w:id="27"/>
    <w:bookmarkEnd w:id="28"/>
    <w:bookmarkStart w:id="31" w:name="appendix-c-sampling-and-timeline"/>
    <w:p>
      <w:pPr>
        <w:pStyle w:val="Heading1"/>
      </w:pPr>
      <w:r>
        <w:t xml:space="preserve">Appendix C: Sampling and timeline</w:t>
      </w:r>
    </w:p>
    <w:bookmarkStart w:id="29" w:name="X63c534312a77aa846e9196fd70523639db00521"/>
    <w:p>
      <w:pPr>
        <w:pStyle w:val="Heading2"/>
      </w:pPr>
      <w:r>
        <w:t xml:space="preserve">C.1 Quota grid (purposive diversity sampling)</w:t>
      </w:r>
    </w:p>
    <w:p>
      <w:pPr>
        <w:pStyle w:val="FirstParagraph"/>
      </w:pPr>
      <w:r>
        <w:t xml:space="preserve">Target 50 firms (minimum 40). The aim is to cover the configurations that theory expects, not to estimate population averages.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Dimension</w:t>
            </w:r>
          </w:p>
        </w:tc>
        <w:tc>
          <w:tcPr/>
          <w:p>
            <w:pPr>
              <w:pStyle w:val="Compact"/>
              <w:jc w:val="left"/>
            </w:pPr>
            <w:r>
              <w:t xml:space="preserve">Categories</w:t>
            </w:r>
          </w:p>
        </w:tc>
        <w:tc>
          <w:tcPr/>
          <w:p>
            <w:pPr>
              <w:pStyle w:val="Compact"/>
              <w:jc w:val="left"/>
            </w:pPr>
            <w:r>
              <w:t xml:space="preserve">Minimum per category</w:t>
            </w:r>
          </w:p>
        </w:tc>
      </w:tr>
      <w:tr>
        <w:tc>
          <w:tcPr/>
          <w:p>
            <w:pPr>
              <w:pStyle w:val="Compact"/>
              <w:jc w:val="left"/>
            </w:pPr>
            <w:r>
              <w:t xml:space="preserve">Cluster</w:t>
            </w:r>
          </w:p>
        </w:tc>
        <w:tc>
          <w:tcPr/>
          <w:p>
            <w:pPr>
              <w:pStyle w:val="Compact"/>
              <w:jc w:val="left"/>
            </w:pPr>
            <w:r>
              <w:t xml:space="preserve">Tiruppur/Coimbatore; NCR; Bengaluru; Ludhiana; Kolkata/other</w:t>
            </w:r>
          </w:p>
        </w:tc>
        <w:tc>
          <w:tcPr/>
          <w:p>
            <w:pPr>
              <w:pStyle w:val="Compact"/>
              <w:jc w:val="left"/>
            </w:pPr>
            <w:r>
              <w:t xml:space="preserve">6</w:t>
            </w:r>
          </w:p>
        </w:tc>
      </w:tr>
      <w:tr>
        <w:tc>
          <w:tcPr/>
          <w:p>
            <w:pPr>
              <w:pStyle w:val="Compact"/>
              <w:jc w:val="left"/>
            </w:pPr>
            <w:r>
              <w:t xml:space="preserve">Tier</w:t>
            </w:r>
          </w:p>
        </w:tc>
        <w:tc>
          <w:tcPr/>
          <w:p>
            <w:pPr>
              <w:pStyle w:val="Compact"/>
              <w:jc w:val="left"/>
            </w:pPr>
            <w:r>
              <w:t xml:space="preserve">Finished goods; intermediate (fabric/yarn)</w:t>
            </w:r>
          </w:p>
        </w:tc>
        <w:tc>
          <w:tcPr/>
          <w:p>
            <w:pPr>
              <w:pStyle w:val="Compact"/>
              <w:jc w:val="left"/>
            </w:pPr>
            <w:r>
              <w:t xml:space="preserve">12</w:t>
            </w:r>
          </w:p>
        </w:tc>
      </w:tr>
      <w:tr>
        <w:tc>
          <w:tcPr/>
          <w:p>
            <w:pPr>
              <w:pStyle w:val="Compact"/>
              <w:jc w:val="left"/>
            </w:pPr>
            <w:r>
              <w:t xml:space="preserve">Integration</w:t>
            </w:r>
          </w:p>
        </w:tc>
        <w:tc>
          <w:tcPr/>
          <w:p>
            <w:pPr>
              <w:pStyle w:val="Compact"/>
              <w:jc w:val="left"/>
            </w:pPr>
            <w:r>
              <w:t xml:space="preserve">Garment-only (VI ≤ 2); partly integrated (3–4); integrated (≥ 5)</w:t>
            </w:r>
          </w:p>
        </w:tc>
        <w:tc>
          <w:tcPr/>
          <w:p>
            <w:pPr>
              <w:pStyle w:val="Compact"/>
              <w:jc w:val="left"/>
            </w:pPr>
            <w:r>
              <w:t xml:space="preserve">10</w:t>
            </w:r>
          </w:p>
        </w:tc>
      </w:tr>
      <w:tr>
        <w:tc>
          <w:tcPr/>
          <w:p>
            <w:pPr>
              <w:pStyle w:val="Compact"/>
              <w:jc w:val="left"/>
            </w:pPr>
            <w:r>
              <w:t xml:space="preserve">Size</w:t>
            </w:r>
          </w:p>
        </w:tc>
        <w:tc>
          <w:tcPr/>
          <w:p>
            <w:pPr>
              <w:pStyle w:val="Compact"/>
              <w:jc w:val="left"/>
            </w:pPr>
            <w:r>
              <w:t xml:space="preserve">&lt; 250 employees; ≥ 250 employees</w:t>
            </w:r>
          </w:p>
        </w:tc>
        <w:tc>
          <w:tcPr/>
          <w:p>
            <w:pPr>
              <w:pStyle w:val="Compact"/>
              <w:jc w:val="left"/>
            </w:pPr>
            <w:r>
              <w:t xml:space="preserve">15</w:t>
            </w:r>
          </w:p>
        </w:tc>
      </w:tr>
    </w:tbl>
    <w:bookmarkEnd w:id="29"/>
    <w:bookmarkStart w:id="30" w:name="c.2-timeline"/>
    <w:p>
      <w:pPr>
        <w:pStyle w:val="Heading2"/>
      </w:pPr>
      <w:r>
        <w:t xml:space="preserve">C.2 Timeline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Date</w:t>
            </w:r>
          </w:p>
        </w:tc>
        <w:tc>
          <w:tcPr/>
          <w:p>
            <w:pPr>
              <w:pStyle w:val="Compact"/>
              <w:jc w:val="left"/>
            </w:pPr>
            <w:r>
              <w:t xml:space="preserve">Milestone</w:t>
            </w:r>
          </w:p>
        </w:tc>
        <w:tc>
          <w:tcPr/>
          <w:p>
            <w:pPr>
              <w:pStyle w:val="Compact"/>
              <w:jc w:val="left"/>
            </w:pPr>
            <w:r>
              <w:t xml:space="preserve">Firms</w:t>
            </w:r>
          </w:p>
        </w:tc>
      </w:tr>
      <w:tr>
        <w:tc>
          <w:tcPr/>
          <w:p>
            <w:pPr>
              <w:pStyle w:val="Compact"/>
              <w:jc w:val="left"/>
            </w:pPr>
            <w:r>
              <w:t xml:space="preserve">Nov 2026</w:t>
            </w:r>
          </w:p>
        </w:tc>
        <w:tc>
          <w:tcPr/>
          <w:p>
            <w:pPr>
              <w:pStyle w:val="Compact"/>
              <w:jc w:val="left"/>
            </w:pPr>
            <w:r>
              <w:t xml:space="preserve">Ethics approval; expert review of items and anchors; 3–5 pretest interviews; contact AEPC and cluster associations</w:t>
            </w:r>
          </w:p>
        </w:tc>
        <w:tc>
          <w:tcPr/>
          <w:p>
            <w:pPr>
              <w:pStyle w:val="Compact"/>
              <w:jc w:val="left"/>
            </w:pPr>
            <w:r>
              <w:t xml:space="preserve">–</w:t>
            </w:r>
          </w:p>
        </w:tc>
      </w:tr>
      <w:tr>
        <w:tc>
          <w:tcPr/>
          <w:p>
            <w:pPr>
              <w:pStyle w:val="Compact"/>
              <w:jc w:val="left"/>
            </w:pPr>
            <w:r>
              <w:t xml:space="preserve">Dec 2026</w:t>
            </w:r>
          </w:p>
        </w:tc>
        <w:tc>
          <w:tcPr/>
          <w:p>
            <w:pPr>
              <w:pStyle w:val="Compact"/>
              <w:jc w:val="left"/>
            </w:pPr>
            <w:r>
              <w:t xml:space="preserve">Fieldwork starts</w:t>
            </w:r>
          </w:p>
        </w:tc>
        <w:tc>
          <w:tcPr/>
          <w:p>
            <w:pPr>
              <w:pStyle w:val="Compact"/>
              <w:jc w:val="left"/>
            </w:pPr>
            <w:r>
              <w:t xml:space="preserve">~10</w:t>
            </w:r>
          </w:p>
        </w:tc>
      </w:tr>
      <w:tr>
        <w:tc>
          <w:tcPr/>
          <w:p>
            <w:pPr>
              <w:pStyle w:val="Compact"/>
              <w:jc w:val="left"/>
            </w:pPr>
            <w:r>
              <w:t xml:space="preserve">31 Dec 2026</w:t>
            </w:r>
          </w:p>
        </w:tc>
        <w:tc>
          <w:tcPr/>
          <w:p>
            <w:pPr>
              <w:pStyle w:val="Compact"/>
              <w:jc w:val="left"/>
            </w:pPr>
            <w:r>
              <w:rPr>
                <w:bCs/>
                <w:b/>
              </w:rPr>
              <w:t xml:space="preserve">Abstract submitted</w:t>
            </w:r>
          </w:p>
        </w:tc>
        <w:tc>
          <w:tcPr/>
          <w:p>
            <w:pPr>
              <w:pStyle w:val="Compact"/>
              <w:jc w:val="left"/>
            </w:pPr>
            <w:r>
              <w:t xml:space="preserve">–</w:t>
            </w:r>
          </w:p>
        </w:tc>
      </w:tr>
      <w:tr>
        <w:tc>
          <w:tcPr/>
          <w:p>
            <w:pPr>
              <w:pStyle w:val="Compact"/>
              <w:jc w:val="left"/>
            </w:pPr>
            <w:r>
              <w:t xml:space="preserve">Jan 2027</w:t>
            </w:r>
          </w:p>
        </w:tc>
        <w:tc>
          <w:tcPr/>
          <w:p>
            <w:pPr>
              <w:pStyle w:val="Compact"/>
              <w:jc w:val="left"/>
            </w:pPr>
            <w:r>
              <w:t xml:space="preserve">Fieldwork continues; 15 Jan STF feedback; end-Jan workshop</w:t>
            </w:r>
          </w:p>
        </w:tc>
        <w:tc>
          <w:tcPr/>
          <w:p>
            <w:pPr>
              <w:pStyle w:val="Compact"/>
              <w:jc w:val="left"/>
            </w:pPr>
            <w:r>
              <w:t xml:space="preserve">~20</w:t>
            </w:r>
          </w:p>
        </w:tc>
      </w:tr>
      <w:tr>
        <w:tc>
          <w:tcPr/>
          <w:p>
            <w:pPr>
              <w:pStyle w:val="Compact"/>
              <w:jc w:val="left"/>
            </w:pPr>
            <w:r>
              <w:t xml:space="preserve">Feb 2027</w:t>
            </w:r>
          </w:p>
        </w:tc>
        <w:tc>
          <w:tcPr/>
          <w:p>
            <w:pPr>
              <w:pStyle w:val="Compact"/>
              <w:jc w:val="left"/>
            </w:pPr>
            <w:r>
              <w:t xml:space="preserve">Fieldwork closes</w:t>
            </w:r>
          </w:p>
        </w:tc>
        <w:tc>
          <w:tcPr/>
          <w:p>
            <w:pPr>
              <w:pStyle w:val="Compact"/>
              <w:jc w:val="left"/>
            </w:pPr>
            <w:r>
              <w:t xml:space="preserve">~20 (cumulative 50)</w:t>
            </w:r>
          </w:p>
        </w:tc>
      </w:tr>
      <w:tr>
        <w:tc>
          <w:tcPr/>
          <w:p>
            <w:pPr>
              <w:pStyle w:val="Compact"/>
              <w:jc w:val="left"/>
            </w:pPr>
            <w:r>
              <w:t xml:space="preserve">Mar 2027</w:t>
            </w:r>
          </w:p>
        </w:tc>
        <w:tc>
          <w:tcPr/>
          <w:p>
            <w:pPr>
              <w:pStyle w:val="Compact"/>
              <w:jc w:val="left"/>
            </w:pPr>
            <w:r>
              <w:t xml:space="preserve">Calibration, necessity and sufficiency analyses, robustness, case vignettes</w:t>
            </w:r>
          </w:p>
        </w:tc>
        <w:tc>
          <w:tcPr/>
          <w:p>
            <w:pPr>
              <w:pStyle w:val="Compact"/>
              <w:jc w:val="left"/>
            </w:pPr>
            <w:r>
              <w:t xml:space="preserve">–</w:t>
            </w:r>
          </w:p>
        </w:tc>
      </w:tr>
      <w:tr>
        <w:tc>
          <w:tcPr/>
          <w:p>
            <w:pPr>
              <w:pStyle w:val="Compact"/>
              <w:jc w:val="left"/>
            </w:pPr>
            <w:r>
              <w:t xml:space="preserve">Apr 2027</w:t>
            </w:r>
          </w:p>
        </w:tc>
        <w:tc>
          <w:tcPr/>
          <w:p>
            <w:pPr>
              <w:pStyle w:val="Compact"/>
              <w:jc w:val="left"/>
            </w:pPr>
            <w:r>
              <w:t xml:space="preserve">Writing;</w:t>
            </w:r>
            <w:r>
              <w:t xml:space="preserve"> </w:t>
            </w:r>
            <w:r>
              <w:rPr>
                <w:bCs/>
                <w:b/>
              </w:rPr>
              <w:t xml:space="preserve">submit within 1–30 April</w:t>
            </w:r>
          </w:p>
        </w:tc>
        <w:tc>
          <w:tcPr/>
          <w:p>
            <w:pPr>
              <w:pStyle w:val="Compact"/>
              <w:jc w:val="left"/>
            </w:pPr>
            <w:r>
              <w:t xml:space="preserve">–</w:t>
            </w:r>
          </w:p>
        </w:tc>
      </w:tr>
    </w:tbl>
    <w:p>
      <w:pPr>
        <w:pStyle w:val="BodyText"/>
      </w:pPr>
      <w:r>
        <w:t xml:space="preserve">That is about</w:t>
      </w:r>
      <w:r>
        <w:t xml:space="preserve"> </w:t>
      </w:r>
      <w:r>
        <w:rPr>
          <w:bCs/>
          <w:b/>
        </w:rPr>
        <w:t xml:space="preserve">4–5 interviews per week</w:t>
      </w:r>
      <w:r>
        <w:t xml:space="preserve"> </w:t>
      </w:r>
      <w:r>
        <w:t xml:space="preserve">over 11 weeks, which two researchers can manage with association referrals.</w:t>
      </w:r>
    </w:p>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Online Appendix: Who Carries the Passport?</dc:title>
  <dc:creator/>
  <cp:keywords/>
  <dcterms:created xsi:type="dcterms:W3CDTF">2026-10-25T19:30:01Z</dcterms:created>
  <dcterms:modified xsi:type="dcterms:W3CDTF">2026-10-25T19:30:01Z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Appendix A (measures and calibration), B (fsQCA protocol and robustness), C (sampling and timeline). Appendices do not count toward the STF word limit.</vt:lpwstr>
  </property>
</Properties>
</file>