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w:t>
      </w:r>
      <w:r>
        <w:t xml:space="preserve"> </w:t>
      </w:r>
      <w:r>
        <w:t xml:space="preserve">Carries</w:t>
      </w:r>
      <w:r>
        <w:t xml:space="preserve"> </w:t>
      </w:r>
      <w:r>
        <w:t xml:space="preserve">the</w:t>
      </w:r>
      <w:r>
        <w:t xml:space="preserve"> </w:t>
      </w:r>
      <w:r>
        <w:t xml:space="preserve">Passport?</w:t>
      </w:r>
      <w:r>
        <w:t xml:space="preserve"> </w:t>
      </w:r>
      <w:r>
        <w:t xml:space="preserve">Configurations</w:t>
      </w:r>
      <w:r>
        <w:t xml:space="preserve"> </w:t>
      </w:r>
      <w:r>
        <w:t xml:space="preserve">of</w:t>
      </w:r>
      <w:r>
        <w:t xml:space="preserve"> </w:t>
      </w:r>
      <w:r>
        <w:t xml:space="preserve">Supplier</w:t>
      </w:r>
      <w:r>
        <w:t xml:space="preserve"> </w:t>
      </w:r>
      <w:r>
        <w:t xml:space="preserve">Capacity</w:t>
      </w:r>
      <w:r>
        <w:t xml:space="preserve"> </w:t>
      </w:r>
      <w:r>
        <w:t xml:space="preserve">for</w:t>
      </w:r>
      <w:r>
        <w:t xml:space="preserve"> </w:t>
      </w:r>
      <w:r>
        <w:t xml:space="preserve">Digital</w:t>
      </w:r>
      <w:r>
        <w:t xml:space="preserve"> </w:t>
      </w:r>
      <w:r>
        <w:t xml:space="preserve">Product</w:t>
      </w:r>
      <w:r>
        <w:t xml:space="preserve"> </w:t>
      </w:r>
      <w:r>
        <w:t xml:space="preserve">Passport</w:t>
      </w:r>
      <w:r>
        <w:t xml:space="preserve"> </w:t>
      </w:r>
      <w:r>
        <w:t xml:space="preserve">Readiness</w:t>
      </w:r>
      <w:r>
        <w:t xml:space="preserve"> </w:t>
      </w:r>
      <w:r>
        <w:t xml:space="preserve">and</w:t>
      </w:r>
      <w:r>
        <w:t xml:space="preserve"> </w:t>
      </w:r>
      <w:r>
        <w:t xml:space="preserve">Circularity</w:t>
      </w:r>
      <w:r>
        <w:t xml:space="preserve"> </w:t>
      </w:r>
      <w:r>
        <w:t xml:space="preserve">in</w:t>
      </w:r>
      <w:r>
        <w:t xml:space="preserve"> </w:t>
      </w:r>
      <w:r>
        <w:t xml:space="preserve">Indian</w:t>
      </w:r>
      <w:r>
        <w:t xml:space="preserve"> </w:t>
      </w:r>
      <w:r>
        <w:t xml:space="preserve">Apparel</w:t>
      </w:r>
      <w:r>
        <w:t xml:space="preserve"> </w:t>
      </w:r>
      <w:r>
        <w:t xml:space="preserve">Exports</w:t>
      </w:r>
    </w:p>
    <w:p>
      <w:pPr>
        <w:pStyle w:val="Author"/>
      </w:pPr>
    </w:p>
    <w:p>
      <w:pPr>
        <w:pStyle w:val="FirstParagraph"/>
      </w:pPr>
      <w:r>
        <w:rPr>
          <w:bCs/>
          <w:b/>
        </w:rPr>
        <w:t xml:space="preserve">What are we going to do?</w:t>
      </w:r>
      <w:r>
        <w:t xml:space="preserve"> </w:t>
      </w:r>
      <w:r>
        <w:t xml:space="preserve">The EU Ecodesign for Sustainable Products Regulation (2024/1781) will require every garment sold in the EU to carry a Digital Product Passport (DPP): a product-level record of composition, origin, chemicals, footprint, durability and recyclability. The textile delegated act is planned for 2027. The destruction ban on unsold apparel (in force since July 2026) and the live DPP Registry are already pushing documentation demands onto suppliers, who hold most passport data several tiers upstream. We ask which combinations of supplier conditions lead to passport readiness, which lead to its absence, and whether readiness is enough for circularity.</w:t>
      </w:r>
    </w:p>
    <w:p>
      <w:pPr>
        <w:pStyle w:val="BodyText"/>
      </w:pPr>
      <w:r>
        <w:rPr>
          <w:bCs/>
          <w:b/>
        </w:rPr>
        <w:t xml:space="preserve">Why should readers care?</w:t>
      </w:r>
      <w:r>
        <w:t xml:space="preserve"> </w:t>
      </w:r>
      <w:r>
        <w:t xml:space="preserve">U.S. tariffs of up to 50% and the EU–India free trade agreement concluded in January 2026 are steering Indian exporters toward the EU, just as the EU makes product data a condition of market access. Choices made in 2027, before the mandate, will decide which suppliers remain in EU supply chains. For managers, the DPP is a supply chain design problem, not an IT purchase. For policymakers, it raises the question of who pays for transparency.</w:t>
      </w:r>
    </w:p>
    <w:p>
      <w:pPr>
        <w:pStyle w:val="BodyText"/>
      </w:pPr>
      <w:r>
        <w:rPr>
          <w:bCs/>
          <w:b/>
        </w:rPr>
        <w:t xml:space="preserve">What is our theoretical lens?</w:t>
      </w:r>
      <w:r>
        <w:t xml:space="preserve"> </w:t>
      </w:r>
      <w:r>
        <w:t xml:space="preserve">Organizational information processing theory, read configurationally. Galbraith’s design alternatives suggest equifinal routes to readiness: an</w:t>
      </w:r>
      <w:r>
        <w:t xml:space="preserve"> </w:t>
      </w:r>
      <w:r>
        <w:rPr>
          <w:iCs/>
          <w:i/>
        </w:rPr>
        <w:t xml:space="preserve">integrated</w:t>
      </w:r>
      <w:r>
        <w:t xml:space="preserve"> </w:t>
      </w:r>
      <w:r>
        <w:t xml:space="preserve">route (owning upstream stages) and a</w:t>
      </w:r>
      <w:r>
        <w:t xml:space="preserve"> </w:t>
      </w:r>
      <w:r>
        <w:rPr>
          <w:iCs/>
          <w:i/>
        </w:rPr>
        <w:t xml:space="preserve">networked</w:t>
      </w:r>
      <w:r>
        <w:t xml:space="preserve"> </w:t>
      </w:r>
      <w:r>
        <w:t xml:space="preserve">route (independent sub-suppliers sharing data), both requiring digital traceability. We expect buyer pressure to produce readiness only when suppliers do not fear their data will be used against them (</w:t>
      </w:r>
      <w:r>
        <w:rPr>
          <w:iCs/>
          <w:i/>
        </w:rPr>
        <w:t xml:space="preserve">data-appropriation concern</w:t>
      </w:r>
      <w:r>
        <w:t xml:space="preserve">). Drawing on institutional theory, we test whether readiness is sufficient for circular capability or</w:t>
      </w:r>
      <w:r>
        <w:t xml:space="preserve"> </w:t>
      </w:r>
      <w:r>
        <w:rPr>
          <w:iCs/>
          <w:i/>
        </w:rPr>
        <w:t xml:space="preserve">decoupled</w:t>
      </w:r>
      <w:r>
        <w:t xml:space="preserve"> </w:t>
      </w:r>
      <w:r>
        <w:t xml:space="preserve">from it.</w:t>
      </w:r>
    </w:p>
    <w:p>
      <w:pPr>
        <w:pStyle w:val="BodyText"/>
      </w:pPr>
      <w:r>
        <w:rPr>
          <w:bCs/>
          <w:b/>
        </w:rPr>
        <w:t xml:space="preserve">What is our methodology?</w:t>
      </w:r>
      <w:r>
        <w:t xml:space="preserve"> </w:t>
      </w:r>
      <w:r>
        <w:t xml:space="preserve">Fuzzy-set qualitative comparative analysis (fsQCA), which identifies combinations of conditions sufficient or necessary for an outcome, allowing different explanations for success and failure. We use calibrated measures, necessity and sufficiency analyses for high and low readiness, a separate analysis for circular capability, and robustness tests on calibration and thresholds.</w:t>
      </w:r>
    </w:p>
    <w:p>
      <w:pPr>
        <w:pStyle w:val="BodyText"/>
      </w:pPr>
      <w:r>
        <w:rPr>
          <w:bCs/>
          <w:b/>
        </w:rPr>
        <w:t xml:space="preserve">What data will we use?</w:t>
      </w:r>
      <w:r>
        <w:t xml:space="preserve"> </w:t>
      </w:r>
      <w:r>
        <w:t xml:space="preserve">Primary data collected from December 2026 to February 2027 through structured interviews with 40–60 Indian textile and apparel exporters supplying EU buyers. Firms are sampled purposively for diversity across clusters (Tiruppur, Bengaluru, NCR, Ludhiana, Kolkata), tiers, sizes and integration. Most measures are factual checklists (e.g., passport data categories a firm can supply today), verified against documents where possible.</w:t>
      </w:r>
    </w:p>
    <w:p>
      <w:pPr>
        <w:pStyle w:val="BodyText"/>
      </w:pPr>
      <w:r>
        <w:rPr>
          <w:bCs/>
          <w:b/>
        </w:rPr>
        <w:t xml:space="preserve">How will our findings influence theory and practice?</w:t>
      </w:r>
      <w:r>
        <w:t xml:space="preserve"> </w:t>
      </w:r>
      <w:r>
        <w:t xml:space="preserve">For theory, we move information processing theory from a single notion of fit to equifinal routes under regulation-induced, multi-tier requirements, and we show when buyer pressure fails. For practice, we give suppliers alternative routes to readiness that fit their structure, and show brands why data-use safeguards matter. For policy, we show where shared cluster data platforms and safeguards could close the</w:t>
      </w:r>
      <w:r>
        <w:t xml:space="preserve"> </w:t>
      </w:r>
      <w:r>
        <w:t xml:space="preserve">“</w:t>
      </w:r>
      <w:r>
        <w:t xml:space="preserve">passport gap</w:t>
      </w:r>
      <w:r>
        <w:t xml:space="preserve">”</w:t>
      </w:r>
      <w:r>
        <w:t xml:space="preserve"> </w:t>
      </w:r>
      <w:r>
        <w:t xml:space="preserve">without pushing small suppliers out of EU value chains.</w:t>
      </w:r>
    </w:p>
    <w:p>
      <w:pPr>
        <w:pStyle w:val="BodyText"/>
      </w:pPr>
      <w:r>
        <w:rPr>
          <w:iCs/>
          <w:i/>
        </w:rPr>
        <w:t xml:space="preserve">Keywords:</w:t>
      </w:r>
      <w:r>
        <w:t xml:space="preserve"> </w:t>
      </w:r>
      <w:r>
        <w:t xml:space="preserve">digital product passport; circular economy; apparel supply chains; information processing theory; fsQCA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Carries the Passport? Configurations of Supplier Capacity for Digital Product Passport Readiness and Circularity in Indian Apparel Exports</dc:title>
  <dc:creator/>
  <cp:keywords/>
  <dcterms:created xsi:type="dcterms:W3CDTF">2026-10-25T19:39:40Z</dcterms:created>
  <dcterms:modified xsi:type="dcterms:W3CDTF">2026-10-25T19:39:40Z</dcterms:modified>
</cp:coreProperties>
</file>

<file path=docProps/custom.xml><?xml version="1.0" encoding="utf-8"?>
<Properties xmlns="http://schemas.openxmlformats.org/officeDocument/2006/custom-properties" xmlns:vt="http://schemas.openxmlformats.org/officeDocument/2006/docPropsVTypes"/>
</file>