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interviews Dec 2026 – Feb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2,758 + references 896 =</w:t>
            </w:r>
            <w:r>
              <w:t xml:space="preserve"> </w:t>
            </w:r>
            <w:r>
              <w:rPr>
                <w:bCs/>
                <w:b/>
              </w:rPr>
              <w:t xml:space="preserve">3,654</w:t>
            </w:r>
            <w:r>
              <w:t xml:space="preserve"> </w:t>
            </w:r>
            <w:r>
              <w:t xml:space="preserve">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calibration anchors, the fsQCA protocol, robustness checks and the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read configurationally (equifinal routes) plus institutional decoupling (P4); fsQCA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(P4);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vs. networked routes;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2026–27 interview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2026-10-25T19:39:41Z</dcterms:created>
  <dcterms:modified xsi:type="dcterms:W3CDTF">2026-10-25T19:39:41Z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