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449da1eb0361f590945714d435124827b3b6b8"/>
    <w:p>
      <w:pPr>
        <w:pStyle w:val="Heading1"/>
      </w:pPr>
      <w:r>
        <w:t xml:space="preserve">fsQCA results: SIMULATED DATA (pipeline test, not findings)</w:t>
      </w:r>
    </w:p>
    <w:p>
      <w:pPr>
        <w:pStyle w:val="BlockText"/>
      </w:pPr>
      <w:r>
        <w:rPr>
          <w:bCs/>
          <w:b/>
        </w:rPr>
        <w:t xml:space="preserve">These results come from simulated responses (</w:t>
      </w:r>
      <w:r>
        <w:rPr>
          <w:rStyle w:val="VerbatimChar"/>
          <w:bCs/>
          <w:b/>
        </w:rPr>
        <w:t xml:space="preserve">data/SIMULATED_responses.csv</w:t>
      </w:r>
      <w:r>
        <w:rPr>
          <w:bCs/>
          <w:b/>
        </w:rPr>
        <w:t xml:space="preserve">). They reflect the assumptions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simulation/SIMULATION_ASSUMPTIONS.md</w:t>
      </w:r>
      <w:r>
        <w:rPr>
          <w:bCs/>
          <w:b/>
        </w:rPr>
        <w:t xml:space="preserve"> </w:t>
      </w:r>
      <w:r>
        <w:rPr>
          <w:bCs/>
          <w:b/>
        </w:rPr>
        <w:t xml:space="preserve">and must not be reported as evidence.</w:t>
      </w:r>
    </w:p>
    <w:p>
      <w:pPr>
        <w:pStyle w:val="FirstParagraph"/>
      </w:pPr>
      <w:r>
        <w:t xml:space="preserve">N = 50 firms. Source file:</w:t>
      </w:r>
      <w:r>
        <w:t xml:space="preserve"> </w:t>
      </w:r>
      <w:r>
        <w:rPr>
          <w:rStyle w:val="VerbatimChar"/>
        </w:rPr>
        <w:t xml:space="preserve">data/SIMULATED_responses.csv</w:t>
      </w:r>
      <w:r>
        <w:t xml:space="preserve">.</w:t>
      </w:r>
    </w:p>
    <w:bookmarkStart w:id="20" w:name="descriptives-and-reliability"/>
    <w:p>
      <w:pPr>
        <w:pStyle w:val="Heading2"/>
      </w:pPr>
      <w:r>
        <w:t xml:space="preserve">1. Descriptives and reliability</w:t>
      </w:r>
    </w:p>
    <w:p>
      <w:pPr>
        <w:pStyle w:val="FirstParagraph"/>
      </w:pPr>
      <w:r>
        <w:t xml:space="preserve">Cronbach’s α: BTP = 0.79; DAC = 0.87.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min–max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Anchors (out / cross / 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cases &gt;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0.0–7.0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3.5 /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1.0–5.0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2.5 /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0.0–5.0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2.5 /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2.0–6.0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3.5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10.0–93.3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/ 50 /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2.3–7.0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4 /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1.0–6.3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4 /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0.0–6.0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1.5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0.0–3.0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1.5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</w:tr>
    </w:tbl>
    <w:bookmarkEnd w:id="20"/>
    <w:bookmarkStart w:id="21" w:name="X5642b35a7305f565116fb98849f2df8ee0e96d5"/>
    <w:p>
      <w:pPr>
        <w:pStyle w:val="Heading2"/>
      </w:pPr>
      <w:r>
        <w:t xml:space="preserve">2. Necessity analysis (threshold: consistency ≥ 0.90, RoN ≥ 0.60)</w:t>
      </w:r>
    </w:p>
    <w:p>
      <w:pPr>
        <w:pStyle w:val="FirstParagraph"/>
      </w:pPr>
      <w:r>
        <w:rPr>
          <w:bCs/>
          <w:b/>
        </w:rPr>
        <w:t xml:space="preserve">Outcome: DPR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~DTC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~MDS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0.758</w:t>
            </w:r>
          </w:p>
        </w:tc>
      </w:tr>
    </w:tbl>
    <w:p>
      <w:pPr>
        <w:pStyle w:val="BodyText"/>
      </w:pPr>
      <w:r>
        <w:t xml:space="preserve">Necessary conditions: none.</w:t>
      </w:r>
    </w:p>
    <w:p>
      <w:pPr>
        <w:pStyle w:val="BodyText"/>
      </w:pPr>
      <w:r>
        <w:rPr>
          <w:bCs/>
          <w:b/>
        </w:rPr>
        <w:t xml:space="preserve">Outcome: ~DPR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~DTC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~MDS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0.592</w:t>
            </w:r>
          </w:p>
        </w:tc>
      </w:tr>
    </w:tbl>
    <w:p>
      <w:pPr>
        <w:pStyle w:val="BodyText"/>
      </w:pPr>
      <w:r>
        <w:t xml:space="preserve">Necessary conditions: none.</w:t>
      </w:r>
    </w:p>
    <w:bookmarkEnd w:id="21"/>
    <w:bookmarkStart w:id="22" w:name="sufficiency-high-dpp-readiness"/>
    <w:p>
      <w:pPr>
        <w:pStyle w:val="Heading2"/>
      </w:pPr>
      <w:r>
        <w:t xml:space="preserve">3. Sufficiency: high DPP readiness</w:t>
      </w:r>
    </w:p>
    <w:p>
      <w:pPr>
        <w:pStyle w:val="FirstParagraph"/>
      </w:pPr>
      <w:r>
        <w:t xml:space="preserve">Thresholds: raw consistency ≥ 0.80, PRI ≥ 0.70, frequency ≥ 1. Rows with cases only (remainders omitted).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SIM02, SIM03, SIM04, SIM05, SIM06, SIM07, SIM08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SIM01, SIM09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SIM10, SIM11, SIM12, SIM13, SIM14, SIM15, SIM16, SIM17, SIM18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SIM29, SIM45, SIM47, SIM49, SIM50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SIM21, SIM23, SIM30, SIM31, SIM32, SIM33, SIM34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SIM35, SIM40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SIM36, SIM38, SIM39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SIM37, SIM41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SIM19, SIM20, SIM22, SIM24, SIM25, SIM26, SIM27, SIM28</w:t>
            </w:r>
          </w:p>
        </w:tc>
      </w:tr>
    </w:tbl>
    <w:p>
      <w:pPr>
        <w:pStyle w:val="BodyText"/>
      </w:pPr>
      <w:r>
        <w:t xml:space="preserve">Rows with ≥ 1 case: 14 of 32.</w:t>
      </w:r>
    </w:p>
    <w:p>
      <w:pPr>
        <w:pStyle w:val="BodyText"/>
      </w:pPr>
      <w:r>
        <w:rPr>
          <w:bCs/>
          <w:b/>
        </w:rPr>
        <w:t xml:space="preserve">Intermediate solution for high readiness (DPR)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Deviant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MDS * BTP * ~DAC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MDS,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SIM02, SIM03, SIM04, SIM05, SIM06, SIM07, SIM08, SIM10, SIM11, SIM12, SIM13, SIM14, SIM15, SIM16, SIM17, SIM18, SIM44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DTC * MDS *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MDS,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SIM02, SIM03, SIM04, SIM05, SIM06, SIM07, SIM08, SIM10, SIM11, SIM12, SIM13, SIM14, SIM15, SIM16, SIM17, SIM18, SIM43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 * DTC * BTP * ~DAC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VI, DTC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SIM01, SIM02, SIM03, SIM04, SIM05, SIM06, SIM07, SIM08, SIM09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Solution consistency = 0.924; solution coverage = 0.766.</w:t>
      </w:r>
      <w:r>
        <w:t xml:space="preserve"> </w:t>
      </w:r>
      <w:r>
        <w:t xml:space="preserve">Complex solution: ~VI * MDS * BTP * ~DAC + ~VI * DTC * MDS * BTP + VI * DTC * BTP * ~DAC</w:t>
      </w:r>
      <w:r>
        <w:t xml:space="preserve"> </w:t>
      </w:r>
      <w:r>
        <w:t xml:space="preserve">Parsimonious solution: MDS * BTP + VI * DTC</w:t>
      </w:r>
    </w:p>
    <w:bookmarkEnd w:id="22"/>
    <w:bookmarkStart w:id="23" w:name="sufficiency-low-dpp-readiness-dpr"/>
    <w:p>
      <w:pPr>
        <w:pStyle w:val="Heading2"/>
      </w:pPr>
      <w:r>
        <w:t xml:space="preserve">4. Sufficiency: low DPP readiness (~DPR)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SIM36, SIM38, SIM39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SIM37, SIM41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SIM35, SIM40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SIM19, SIM20, SIM22, SIM24, SIM25, SIM26, SIM27, SIM28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SIM21, SIM23, SIM30, SIM31, SIM32, SIM33, SIM34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SIM29, SIM45, SIM47, SIM49, SIM50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SIM01, SIM09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SIM10, SIM11, SIM12, SIM13, SIM14, SIM15, SIM16, SIM17, SIM18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SIM02, SIM03, SIM04, SIM05, SIM06, SIM07, SIM08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Intermediate solution for low readiness (~DPR)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Deviant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~DTC * ~MDS * 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~DTC, 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SIM19, SIM20, SIM22, SIM24, SIM25, SIM26, SIM27, SIM28, SIM35, SIM37, SIM40, SIM41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~VI * ~DTC * ~BTP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~DTC, ~BTP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SIM36, SIM37, SIM38, SIM39, SIM41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SIM46</w:t>
            </w:r>
          </w:p>
        </w:tc>
      </w:tr>
    </w:tbl>
    <w:p>
      <w:pPr>
        <w:pStyle w:val="BodyText"/>
      </w:pPr>
      <w:r>
        <w:t xml:space="preserve">Solution consistency = 0.94; solution coverage = 0.566.</w:t>
      </w:r>
      <w:r>
        <w:t xml:space="preserve"> </w:t>
      </w:r>
      <w:r>
        <w:t xml:space="preserve">Complex solution: ~DTC * ~MDS * ~BTP * DAC + ~VI * ~DTC * ~BTP * ~DAC + ~VI * ~DTC * ~MDS * DAC</w:t>
      </w:r>
      <w:r>
        <w:t xml:space="preserve"> </w:t>
      </w:r>
      <w:r>
        <w:t xml:space="preserve">Parsimonious solution: ~DTC * DAC + ~DTC * ~BTP</w:t>
      </w:r>
    </w:p>
    <w:bookmarkEnd w:id="23"/>
    <w:bookmarkStart w:id="25" w:name="readiness-and-circularity-p4"/>
    <w:p>
      <w:pPr>
        <w:pStyle w:val="Heading2"/>
      </w:pPr>
      <w:r>
        <w:t xml:space="preserve">5. Readiness and circularity (P4)</w:t>
      </w:r>
    </w:p>
    <w:p>
      <w:pPr>
        <w:pStyle w:val="FirstParagraph"/>
      </w:pPr>
      <w:r>
        <w:t xml:space="preserve">Sufficiency of DPR alone for CSC: consistency = 0.837, coverage = 0.788 (P4 expects consistency &lt; 0.80).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~MDS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0.724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SIM01, SIM09, SIM42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SIM02, SIM03, SIM04, SIM05, SIM06, SIM07, SIM08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SIM35, SIM40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SIM34, SIM45, SIM47, SIM50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SIM10, SIM11, SIM12, SIM13, SIM14, SIM15, SIM17, SIM18, SIM43, SIM44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SIM19, SIM21, SIM30, SIM33, SIM49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SIM36, SIM37, SIM38, SIM39, SIM41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SIM20, SIM22, SIM23, SIM24, SIM25, SIM26, SIM27, SIM28, SIM29, SIM31, SIM32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Intermediate solution for circular capability (CSC)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Deviant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DPR *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DPR,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SIM01, SIM02, SIM03, SIM04, SIM05, SIM06, SIM07, SIM08, SIM09, SIM12, SIM13, SIM14, SIM15, SIM18, SIM42, SIM43, SIM44, SIM45, SIM46, SIM48, SIM50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SIM10, SIM11, SIM17, SIM34, SIM47</w:t>
            </w:r>
          </w:p>
        </w:tc>
      </w:tr>
    </w:tbl>
    <w:p>
      <w:pPr>
        <w:pStyle w:val="BodyText"/>
      </w:pPr>
      <w:r>
        <w:t xml:space="preserve">Solution consistency = 0.856; solution coverage = 0.767.</w:t>
      </w:r>
      <w:r>
        <w:t xml:space="preserve"> </w:t>
      </w:r>
      <w:r>
        <w:t xml:space="preserve">Complex solution: DPR * BTP * CERT + DPR * ~VI * CERT</w:t>
      </w:r>
      <w:r>
        <w:t xml:space="preserve"> </w:t>
      </w:r>
      <w:r>
        <w:t xml:space="preserve">Parsimonious solution: DPR * CERT</w:t>
      </w:r>
    </w:p>
    <w:bookmarkStart w:id="24" w:name="Xdc17ad402a93ca55d11336192e3d513496e3869"/>
    <w:p>
      <w:pPr>
        <w:pStyle w:val="Heading3"/>
      </w:pPr>
      <w:r>
        <w:t xml:space="preserve">5b. Formal circularity (CSC_2, CSC_3, CSC_5 only)</w:t>
      </w:r>
    </w:p>
    <w:p>
      <w:pPr>
        <w:pStyle w:val="FirstParagraph"/>
      </w:pPr>
      <w:r>
        <w:t xml:space="preserve">Sufficiency of DPR alone for formal circularity: consistency = 0.519, coverage = 0.878.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SIM01, SIM09, SIM42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SIM02, SIM03, SIM04, SIM05, SIM06, SIM07, SIM08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SIM34, SIM45, SIM47, SIM50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SIM35, SIM40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SIM10, SIM11, SIM12, SIM13, SIM14, SIM15, SIM17, SIM18, SIM43, SIM44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SIM19, SIM21, SIM30, SIM33, SIM49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SIM36, SIM37, SIM38, SIM39, SIM41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SIM20, SIM22, SIM23, SIM24, SIM25, SIM26, SIM27, SIM28, SIM29, SIM31, SIM32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Intermediate solution for formal circularity (CSCF)</w:t>
      </w:r>
    </w:p>
    <w:p>
      <w:pPr>
        <w:pStyle w:val="BodyText"/>
      </w:pPr>
      <w:r>
        <w:t xml:space="preserve">No configuration passed the consistency thresholds.</w:t>
      </w:r>
    </w:p>
    <w:bookmarkEnd w:id="24"/>
    <w:bookmarkEnd w:id="25"/>
    <w:bookmarkStart w:id="26" w:name="robustness-high-readiness"/>
    <w:p>
      <w:pPr>
        <w:pStyle w:val="Heading2"/>
      </w:pPr>
      <w:r>
        <w:t xml:space="preserve">6. Robustness (high readiness)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MDS * BTP * ~DAC + DTC * MDS * BTP + VI * DTC * BTP * ~DAC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anchors +10%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MDS * BTP * ~DAC + VI * DTC * BTP * ~DAC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anchors −10%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DTC * MDS * BTP + MDS * BTP * ~DAC + VI * DTC *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consistency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MDS * BTP * ~DAC + DTC * MDS * BTP + VI * DTC * BTP * ~DAC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consistency 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MDS * BTP * ~DAC + DTC * MDS * BTP + VI * DTC * BTP * ~DAC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frequency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DTC * MDS * BTP * ~DAC + VI * DTC * BTP * ~DAC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 CERT replaces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MDS * CERT * ~DAC + DTC * MDS * ~DAC + DTC * MDS * CERT + VI * CERT * ~DAC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 tiers 1–2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MDS * BTP * ~DAC + DTC * MDS * BTP + VI * DTC * BTP * ~DAC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0.772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2026-10-25T19:39:41Z</dcterms:created>
  <dcterms:modified xsi:type="dcterms:W3CDTF">2026-10-25T19:39:41Z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