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Supplier</w:t>
      </w:r>
      <w:r>
        <w:t xml:space="preserve"> </w:t>
      </w:r>
      <w:r>
        <w:t xml:space="preserve">Information-Processing</w:t>
      </w:r>
      <w:r>
        <w:t xml:space="preserve"> </w:t>
      </w:r>
      <w:r>
        <w:t xml:space="preserve">Capacity,</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w:t>
      </w:r>
      <w:r>
        <w:t xml:space="preserve"> </w:t>
      </w:r>
      <w:r>
        <w:t xml:space="preserve">Supply</w:t>
      </w:r>
      <w:r>
        <w:t xml:space="preserve"> </w:t>
      </w:r>
      <w:r>
        <w:t xml:space="preserve">Chains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a product-level record of composition, origin, chemicals, footprint, durability and recyclability. The textile delegated act is planned for 2027. The destruction ban on unsold apparel (in force since July 2026) and the live DPP Registry are already pushing documentation demands onto suppliers, who hold most passport data several tiers upstream. We ask how apparel suppliers build the capacity to produce passport-grade data, and whether that capacity becomes circular supply chain capability and export performance, or only paperwork.</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the EU makes product data a condition of market access. Choices made in 2027, before the mandate, will decide which suppliers remain in EU supply chains. For managers, the DPP is a supply chain design problem (who collects, standardises and shares which data, across how many tiers),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EU regulation, passed down through buyers, raises suppliers’ information-processing requirements. Suppliers respond with vertical capacity (digital traceability) and lateral capacity (multi-tier data sharing), which we theorise to be complementary in producing passport readiness.</w:t>
      </w:r>
      <w:r>
        <w:t xml:space="preserve"> </w:t>
      </w:r>
      <w:r>
        <w:rPr>
          <w:iCs/>
          <w:i/>
        </w:rPr>
        <w:t xml:space="preserve">Data-appropriation concern</w:t>
      </w:r>
      <w:r>
        <w:t xml:space="preserve">, the fear that shared data will be used to squeeze prices or switch suppliers, should weaken how far buyer pressure turns into upstream sharing. Drawing on institutional theory, we test two competing expectations: readiness enables circular practices, or it is</w:t>
      </w:r>
      <w:r>
        <w:t xml:space="preserve"> </w:t>
      </w:r>
      <w:r>
        <w:rPr>
          <w:iCs/>
          <w:i/>
        </w:rPr>
        <w:t xml:space="preserve">decoupled</w:t>
      </w:r>
      <w:r>
        <w:t xml:space="preserve"> </w:t>
      </w:r>
      <w:r>
        <w:t xml:space="preserve">as ceremonial compliance.</w:t>
      </w:r>
    </w:p>
    <w:p>
      <w:pPr>
        <w:pStyle w:val="BodyText"/>
      </w:pPr>
      <w:r>
        <w:rPr>
          <w:bCs/>
          <w:b/>
        </w:rPr>
        <w:t xml:space="preserve">What is our methodology?</w:t>
      </w:r>
      <w:r>
        <w:t xml:space="preserve"> </w:t>
      </w:r>
      <w:r>
        <w:t xml:space="preserve">A two-wave key-informant survey separating predictors and outcomes to reduce common-method variance. The model is estimated with PLS-SEM, including interaction effects and out-of-sample prediction (PLSpredict), and controls for size, tier, vertical integration, certifications and regulatory uncertainty.</w:t>
      </w:r>
    </w:p>
    <w:p>
      <w:pPr>
        <w:pStyle w:val="BodyText"/>
      </w:pPr>
      <w:r>
        <w:rPr>
          <w:bCs/>
          <w:b/>
        </w:rPr>
        <w:t xml:space="preserve">What data will we use?</w:t>
      </w:r>
      <w:r>
        <w:t xml:space="preserve"> </w:t>
      </w:r>
      <w:r>
        <w:t xml:space="preserve">Primary survey data collected in February–March 2027 from Indian textile and apparel exporters supplying EU buyers (target n ≥ 200). The sample is drawn from the Apparel Export Promotion Council and cluster associations in Tiruppur, Bengaluru, NCR, Ludhiana and Kolkata. Perceived performance is triangulated with change in EU export share.</w:t>
      </w:r>
    </w:p>
    <w:p>
      <w:pPr>
        <w:pStyle w:val="BodyText"/>
      </w:pPr>
      <w:r>
        <w:rPr>
          <w:bCs/>
          <w:b/>
        </w:rPr>
        <w:t xml:space="preserve">How will our findings influence theory and practice?</w:t>
      </w:r>
      <w:r>
        <w:t xml:space="preserve"> </w:t>
      </w:r>
      <w:r>
        <w:t xml:space="preserve">For theory, we extend information processing theory to regulation-induced, multi-tier information requirements and identify data-appropriation concern as a relational boundary condition. For practice, we offer suppliers and brands a passport-readiness diagnostic and evidence on whether to invest in systems, in supplier relationships, or both. For policy, we show where shared data infrastructure, cost-sharing and data-use safeguards could close the</w:t>
      </w:r>
      <w:r>
        <w:t xml:space="preserve"> </w:t>
      </w:r>
      <w:r>
        <w:t xml:space="preserve">“</w:t>
      </w:r>
      <w:r>
        <w:t xml:space="preserve">passport gap</w:t>
      </w:r>
      <w:r>
        <w:t xml:space="preserve">”</w:t>
      </w:r>
      <w:r>
        <w:t xml:space="preserve"> </w:t>
      </w:r>
      <w:r>
        <w:t xml:space="preserve">without pushing small suppliers out of EU value chains.</w:t>
      </w:r>
    </w:p>
    <w:p>
      <w:pPr>
        <w:pStyle w:val="BodyText"/>
      </w:pPr>
      <w:r>
        <w:rPr>
          <w:iCs/>
          <w:i/>
        </w:rPr>
        <w:t xml:space="preserve">Keywords:</w:t>
      </w:r>
      <w:r>
        <w:t xml:space="preserve"> </w:t>
      </w:r>
      <w:r>
        <w:t xml:space="preserve">digital product passport; circular economy; apparel supply chains; information processing theory;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Supplier Information-Processing Capacity, Digital Product Passport Readiness, and Circular Supply Chains in Indian Apparel Exports</dc:title>
  <dc:creator/>
  <cp:keywords/>
  <dcterms:created xsi:type="dcterms:W3CDTF">2026-10-25T19:07:08Z</dcterms:created>
  <dcterms:modified xsi:type="dcterms:W3CDTF">2026-10-25T19:07:08Z</dcterms:modified>
</cp:coreProperties>
</file>

<file path=docProps/custom.xml><?xml version="1.0" encoding="utf-8"?>
<Properties xmlns="http://schemas.openxmlformats.org/officeDocument/2006/custom-properties" xmlns:vt="http://schemas.openxmlformats.org/officeDocument/2006/docPropsVTypes"/>
</file>