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Supplier</w:t>
      </w:r>
      <w:r>
        <w:t xml:space="preserve"> </w:t>
      </w:r>
      <w:r>
        <w:t xml:space="preserve">Information-Processing</w:t>
      </w:r>
      <w:r>
        <w:t xml:space="preserve"> </w:t>
      </w:r>
      <w:r>
        <w:t xml:space="preserve">Capacity,</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w:t>
      </w:r>
      <w:r>
        <w:t xml:space="preserve"> </w:t>
      </w:r>
      <w:r>
        <w:t xml:space="preserve">Supply</w:t>
      </w:r>
      <w:r>
        <w:t xml:space="preserve"> </w:t>
      </w:r>
      <w:r>
        <w:t xml:space="preserve">Chains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EU regulation, transmitted through buyers, raises suppliers’ information-processing requirements. Suppliers respond by building vertical (digital traceability) and lateral (multi-tier data-sharing) capacity, which jointly produce passport readiness. Data-appropriation concern weakens how far buyer pressure turns into upstream sharing. Drawing on institutional theory, we also test whether readiness enables circular supply chain capability or is decoupled as ceremonial compliance. A two-wave survey of [N] Indian textile and apparel exporters, collected in February–March 2027 and analysed with PLS-SEM, shows [summary of findings]. We offer a readiness diagnostic for suppliers and brands, and we show where public support could close the</w:t>
      </w:r>
      <w:r>
        <w:t xml:space="preserve"> </w:t>
      </w:r>
      <w:r>
        <w:t xml:space="preserve">“</w:t>
      </w:r>
      <w:r>
        <w:t xml:space="preserve">passport gap</w:t>
      </w:r>
      <w:r>
        <w:t xml:space="preserve">”</w:t>
      </w:r>
      <w:r>
        <w:t xml:space="preserve"> </w:t>
      </w:r>
      <w:r>
        <w:t xml:space="preserve">without excluding small suppliers from EU value chains.</w:t>
      </w:r>
    </w:p>
    <w:p>
      <w:pPr>
        <w:pStyle w:val="BodyText"/>
      </w:pPr>
      <w:r>
        <w:rPr>
          <w:iCs/>
          <w:i/>
        </w:rPr>
        <w:t xml:space="preserve">Keywords:</w:t>
      </w:r>
      <w:r>
        <w:t xml:space="preserve"> </w:t>
      </w:r>
      <w:r>
        <w:t xml:space="preserve">digital product passport; circular economy; apparel supply chains; organizational information processing theory; multi-tier traceability;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We ask three questions. (1) How do suppliers build the capacity to produce passport-grade data? (2) What relational conditions block or enable that capacity? (3) Does passport readiness translate into circular supply chain capability and export performance, or into paperwork? To make sense of a fast-moving regulatory landscape (Fawcett &amp; Waller, 2011), we answer them with organizational information processing theory (OIPT; Galbraith, 1974; Tushman &amp; Nadler, 1978), complemented by institutional theory (DiMaggio &amp; Powell, 1983; Meyer &amp; Rowan, 1977), and with survey data from Indian textile and apparel exporters collected in 2027.</w:t>
      </w:r>
    </w:p>
    <w:p>
      <w:pPr>
        <w:pStyle w:val="BodyText"/>
      </w:pPr>
      <w:r>
        <w:t xml:space="preserve">We make three contributions. First, we extend OIPT from intra-firm and dyadic settings (Premkumar et al., 2005; Srinivasan &amp; Swink, 2018) to</w:t>
      </w:r>
      <w:r>
        <w:t xml:space="preserve"> </w:t>
      </w:r>
      <w:r>
        <w:rPr>
          <w:iCs/>
          <w:i/>
        </w:rPr>
        <w:t xml:space="preserve">regulation-induced, multi-tier</w:t>
      </w:r>
      <w:r>
        <w:t xml:space="preserve"> </w:t>
      </w:r>
      <w:r>
        <w:t xml:space="preserve">information requirements. Second, we identify</w:t>
      </w:r>
      <w:r>
        <w:t xml:space="preserve"> </w:t>
      </w:r>
      <w:r>
        <w:rPr>
          <w:iCs/>
          <w:i/>
        </w:rPr>
        <w:t xml:space="preserve">data-appropriation concern</w:t>
      </w:r>
      <w:r>
        <w:t xml:space="preserve"> </w:t>
      </w:r>
      <w:r>
        <w:t xml:space="preserve">as a relational boundary condition that explains why buyer pressure does not automatically produce upstream transparency. Third, we test competing predictions about whether passport data close material loops or are decoupled from practice. That test speaks directly to the connections and trade-offs between sustainability, risk and operational excellence that supply chain designers must manage.</w:t>
      </w:r>
    </w:p>
    <w:bookmarkEnd w:id="21"/>
    <w:bookmarkStart w:id="29" w:name="theory-and-hypotheses"/>
    <w:p>
      <w:pPr>
        <w:pStyle w:val="Heading1"/>
      </w:pPr>
      <w:r>
        <w:t xml:space="preserve">Theory and Hypotheses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Capacity can be built vertically, through information systems, or laterally, through relations that move information across boundaries (Galbraith, 1974; Premkumar et al., 2005). Supply chain scholars have used OIPT to explain how visibility and analytics improve performance (Srinivasan &amp; Swink, 2018). It has rarely been applied to</w:t>
      </w:r>
      <w:r>
        <w:t xml:space="preserve"> </w:t>
      </w:r>
      <w:r>
        <w:rPr>
          <w:iCs/>
          <w:i/>
        </w:rPr>
        <w:t xml:space="preserve">regulation-imposed</w:t>
      </w:r>
      <w:r>
        <w:t xml:space="preserve">, product-level data requirements that cross several tiers.</w:t>
      </w:r>
    </w:p>
    <w:p>
      <w:pPr>
        <w:pStyle w:val="BodyText"/>
      </w:pPr>
      <w:r>
        <w:t xml:space="preserve">The DPP is such a requirement. It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increasingly, contractual data clauses. We call this</w:t>
      </w:r>
      <w:r>
        <w:t xml:space="preserve"> </w:t>
      </w:r>
      <w:r>
        <w:rPr>
          <w:bCs/>
          <w:b/>
        </w:rPr>
        <w:t xml:space="preserve">buyer-transmitted regulatory information pressure</w:t>
      </w:r>
      <w:r>
        <w:t xml:space="preserve">. In institutional terms the pressure is coercive (DiMaggio &amp; Powell, 1983; Zhu &amp; Sarkis, 2007), but its content is informational: suppliers must collect, validate and pass on data they often do not hold.</w:t>
      </w:r>
    </w:p>
    <w:p>
      <w:pPr>
        <w:pStyle w:val="BodyText"/>
      </w:pPr>
      <w:r>
        <w:t xml:space="preserve">Indian apparel supply chains make these requirements unusually demanding. Production is fragmented across small and medium-sized firms. Dyeing, printing, embroidery and even stitching are often subcontracted as job work, and yarn and fabric are bought through traders who may not disclose the mill of origin. A single garment can therefore pass through five or more independent firms before shipment, each holding a fragment of the passport’s data. In OIPT terms, interdependence is high and largely invisible to the exporter. The information-processing requirement is not only</w:t>
      </w:r>
      <w:r>
        <w:t xml:space="preserve"> </w:t>
      </w:r>
      <w:r>
        <w:rPr>
          <w:iCs/>
          <w:i/>
        </w:rPr>
        <w:t xml:space="preserve">more data</w:t>
      </w:r>
      <w:r>
        <w:t xml:space="preserve"> </w:t>
      </w:r>
      <w:r>
        <w:t xml:space="preserve">but</w:t>
      </w:r>
      <w:r>
        <w:t xml:space="preserve"> </w:t>
      </w:r>
      <w:r>
        <w:rPr>
          <w:iCs/>
          <w:i/>
        </w:rPr>
        <w:t xml:space="preserve">data from actors the exporter does not control</w:t>
      </w:r>
      <w:r>
        <w:t xml:space="preserve">.</w:t>
      </w:r>
    </w:p>
    <w:bookmarkEnd w:id="22"/>
    <w:bookmarkStart w:id="23" w:name="building-capacity-vertical-and-lateral"/>
    <w:p>
      <w:pPr>
        <w:pStyle w:val="Heading2"/>
      </w:pPr>
      <w:r>
        <w:t xml:space="preserve">Building Capacity: Vertical and Lateral</w:t>
      </w:r>
    </w:p>
    <w:p>
      <w:pPr>
        <w:pStyle w:val="FirstParagraph"/>
      </w:pPr>
      <w:r>
        <w:t xml:space="preserve">Suppliers can respond in two ways.</w:t>
      </w:r>
      <w:r>
        <w:t xml:space="preserve"> </w:t>
      </w:r>
      <w:r>
        <w:rPr>
          <w:bCs/>
          <w:b/>
        </w:rPr>
        <w:t xml:space="preserve">Digital traceability capability</w:t>
      </w:r>
      <w:r>
        <w:t xml:space="preserve"> </w:t>
      </w:r>
      <w:r>
        <w:t xml:space="preserve">(vertical) is the extent to which a firm records material and process data in structured, interoperable digital form, linked to batches and styles rather than kept in spreadsheets and paper certificates (Agrawal et al., 2021; Kouhizadeh et al., 2021).</w:t>
      </w:r>
      <w:r>
        <w:t xml:space="preserve"> </w:t>
      </w:r>
      <w:r>
        <w:rPr>
          <w:bCs/>
          <w:b/>
        </w:rPr>
        <w:t xml:space="preserve">Multi-tier data sharing</w:t>
      </w:r>
      <w:r>
        <w:t xml:space="preserve"> </w:t>
      </w:r>
      <w:r>
        <w:t xml:space="preserve">(lateral) is the extent to which upstream mills, dyehouses, spinners and fibre suppliers provide timely, accurate data to the focal firm (Fawcett et al., 2007; Kembro et al., 2017). OIPT predicts that rising requirements trigger investment in both.</w:t>
      </w:r>
    </w:p>
    <w:p>
      <w:pPr>
        <w:pStyle w:val="BlockText"/>
      </w:pPr>
      <w:r>
        <w:rPr>
          <w:bCs/>
          <w:b/>
        </w:rPr>
        <w:t xml:space="preserve">H1.</w:t>
      </w:r>
      <w:r>
        <w:t xml:space="preserve"> </w:t>
      </w:r>
      <w:r>
        <w:t xml:space="preserve">Buyer-transmitted regulatory information pressure is positively associated with (a) digital traceability capability and (b) multi-tier data sharing.</w:t>
      </w:r>
    </w:p>
    <w:p>
      <w:pPr>
        <w:pStyle w:val="FirstParagraph"/>
      </w:pPr>
      <w:r>
        <w:t xml:space="preserve">Lateral capacity depends on willingness as well as connectivity (Fawcett et al., 2007). Passport data are commercially sensitive. Cost structures, sub-supplier identities and process yields can be used by buyers to renegotiate prices or bypass the supplier, and by rivals to poach customers. Where this</w:t>
      </w:r>
      <w:r>
        <w:t xml:space="preserve"> </w:t>
      </w:r>
      <w:r>
        <w:rPr>
          <w:bCs/>
          <w:b/>
        </w:rPr>
        <w:t xml:space="preserve">data-appropriation concern</w:t>
      </w:r>
      <w:r>
        <w:t xml:space="preserve"> </w:t>
      </w:r>
      <w:r>
        <w:t xml:space="preserve">is high, suppliers and their sub-suppliers will hold back data or share it only selectively, so pressure turns into ceremonial requests rather than real upstream sharing (King et al., 2023; Sodhi &amp; Tang, 2019).</w:t>
      </w:r>
    </w:p>
    <w:p>
      <w:pPr>
        <w:pStyle w:val="BlockText"/>
      </w:pPr>
      <w:r>
        <w:rPr>
          <w:bCs/>
          <w:b/>
        </w:rPr>
        <w:t xml:space="preserve">H2.</w:t>
      </w:r>
      <w:r>
        <w:t xml:space="preserve"> </w:t>
      </w:r>
      <w:r>
        <w:t xml:space="preserve">Data-appropriation concern weakens the positive relationship between buyer-transmitted pressure and multi-tier data sharing.</w:t>
      </w:r>
    </w:p>
    <w:bookmarkEnd w:id="23"/>
    <w:bookmarkStart w:id="24" w:name="from-capacity-to-passport-readiness"/>
    <w:p>
      <w:pPr>
        <w:pStyle w:val="Heading2"/>
      </w:pPr>
      <w:r>
        <w:t xml:space="preserve">From Capacity to Passport Readiness</w:t>
      </w:r>
    </w:p>
    <w:p>
      <w:pPr>
        <w:pStyle w:val="FirstParagraph"/>
      </w:pPr>
      <w:r>
        <w:t xml:space="preserve">We define</w:t>
      </w:r>
      <w:r>
        <w:t xml:space="preserve"> </w:t>
      </w:r>
      <w:r>
        <w:rPr>
          <w:bCs/>
          <w:b/>
        </w:rPr>
        <w:t xml:space="preserve">DPP readiness</w:t>
      </w:r>
      <w:r>
        <w:t xml:space="preserve"> </w:t>
      </w:r>
      <w:r>
        <w:t xml:space="preserve">as a firm’s ability to supply, at style or batch level, the data categories expected in a textile passport (European Parliamentary Research Service, 2024; Jensen et al., 2023). Digital systems make data storable and transferable. Upstream sharing supplies the content. Each therefore contributes to readiness.</w:t>
      </w:r>
    </w:p>
    <w:p>
      <w:pPr>
        <w:pStyle w:val="BlockText"/>
      </w:pPr>
      <w:r>
        <w:rPr>
          <w:bCs/>
          <w:b/>
        </w:rPr>
        <w:t xml:space="preserve">H3.</w:t>
      </w:r>
      <w:r>
        <w:t xml:space="preserve"> </w:t>
      </w:r>
      <w:r>
        <w:t xml:space="preserve">(a) Digital traceability capability and (b) multi-tier data sharing are positively associated with DPP readiness.</w:t>
      </w:r>
    </w:p>
    <w:p>
      <w:pPr>
        <w:pStyle w:val="FirstParagraph"/>
      </w:pPr>
      <w:r>
        <w:t xml:space="preserve">OIPT also suggests that the two forms of capacity complement each other: systems without upstream data are empty containers, and shared data without systems remain unusable in the formats passports require (Srinivasan &amp; Swink, 2018).</w:t>
      </w:r>
    </w:p>
    <w:p>
      <w:pPr>
        <w:pStyle w:val="BlockText"/>
      </w:pPr>
      <w:r>
        <w:rPr>
          <w:bCs/>
          <w:b/>
        </w:rPr>
        <w:t xml:space="preserve">H4.</w:t>
      </w:r>
      <w:r>
        <w:t xml:space="preserve"> </w:t>
      </w:r>
      <w:r>
        <w:t xml:space="preserve">Digital traceability capability and multi-tier data sharing interact positively in predicting DPP readiness.</w:t>
      </w:r>
    </w:p>
    <w:bookmarkEnd w:id="24"/>
    <w:bookmarkStart w:id="28" w:name="X36f4953b392b40e0bde121dc407170876d25541"/>
    <w:p>
      <w:pPr>
        <w:pStyle w:val="Heading2"/>
      </w:pPr>
      <w:r>
        <w:t xml:space="preserve">Does Readiness Close Loops? Competing Expectations</w:t>
      </w:r>
    </w:p>
    <w:p>
      <w:pPr>
        <w:pStyle w:val="FirstParagraph"/>
      </w:pPr>
      <w:r>
        <w:t xml:space="preserve">The passport’s policy logic is that information enables circularity: knowing fibre blends and chemistry makes sorting, recycling and reuse economically feasible (Adisorn et al., 2021; Jensen et al., 2023). On this view, readiness should enable</w:t>
      </w:r>
      <w:r>
        <w:t xml:space="preserve"> </w:t>
      </w:r>
      <w:r>
        <w:rPr>
          <w:bCs/>
          <w:b/>
        </w:rPr>
        <w:t xml:space="preserve">circular supply chain capability</w:t>
      </w:r>
      <w:r>
        <w:t xml:space="preserve">: reuse of pre-consumer waste and unsold stock, use of recycled inputs, and design-for-recycling with buyers (Jia et al., 2020).</w:t>
      </w:r>
    </w:p>
    <w:p>
      <w:pPr>
        <w:pStyle w:val="BlockText"/>
      </w:pPr>
      <w:r>
        <w:rPr>
          <w:bCs/>
          <w:b/>
        </w:rPr>
        <w:t xml:space="preserve">H5a.</w:t>
      </w:r>
      <w:r>
        <w:t xml:space="preserve"> </w:t>
      </w:r>
      <w:r>
        <w:t xml:space="preserve">DPP readiness is positively associated with circular supply chain capability.</w:t>
      </w:r>
    </w:p>
    <w:p>
      <w:pPr>
        <w:pStyle w:val="FirstParagraph"/>
      </w:pPr>
      <w:r>
        <w:t xml:space="preserve">Institutional theory warns, however, that organisations facing coercive demands often</w:t>
      </w:r>
      <w:r>
        <w:t xml:space="preserve"> </w:t>
      </w:r>
      <w:r>
        <w:rPr>
          <w:iCs/>
          <w:i/>
        </w:rPr>
        <w:t xml:space="preserve">decouple</w:t>
      </w:r>
      <w:r>
        <w:t xml:space="preserve">: they adopt the visible structure while leaving core practice unchanged (Meyer &amp; Rowan, 1977). When the data are collected for the buyer’s file and not for the supplier’s own decisions, readiness may coexist with linear practice.</w:t>
      </w:r>
    </w:p>
    <w:p>
      <w:pPr>
        <w:pStyle w:val="BlockText"/>
      </w:pPr>
      <w:r>
        <w:rPr>
          <w:bCs/>
          <w:b/>
        </w:rPr>
        <w:t xml:space="preserve">H5b (competing).</w:t>
      </w:r>
      <w:r>
        <w:t xml:space="preserve"> </w:t>
      </w:r>
      <w:r>
        <w:t xml:space="preserve">DPP readiness is unrelated to circular supply chain capability once buyer-transmitted pressure is controlled for (decoupling).</w:t>
      </w:r>
    </w:p>
    <w:p>
      <w:pPr>
        <w:pStyle w:val="FirstParagraph"/>
      </w:pPr>
      <w:r>
        <w:t xml:space="preserve">Finally, if passport data become an order qualifier, readiness should support suppliers’ standing with EU buyers.</w:t>
      </w:r>
    </w:p>
    <w:p>
      <w:pPr>
        <w:pStyle w:val="BlockText"/>
      </w:pPr>
      <w:r>
        <w:rPr>
          <w:bCs/>
          <w:b/>
        </w:rPr>
        <w:t xml:space="preserve">H6.</w:t>
      </w:r>
      <w:r>
        <w:t xml:space="preserve"> </w:t>
      </w:r>
      <w:r>
        <w:t xml:space="preserve">DPP readiness is positively associated with EU export performance.</w:t>
      </w:r>
    </w:p>
    <w:p>
      <w:pPr>
        <w:pStyle w:val="FirstParagraph"/>
      </w:pPr>
      <w:r>
        <w:t xml:space="preserve">Figure 1 summarises the model.</w:t>
      </w:r>
    </w:p>
    <w:p>
      <w:pPr>
        <w:pStyle w:val="CaptionedFigure"/>
      </w:pPr>
      <w:r>
        <w:drawing>
          <wp:inline>
            <wp:extent cx="5334000" cy="2085109"/>
            <wp:effectExtent b="0" l="0" r="0" t="0"/>
            <wp:docPr descr="Research model. Controls: firm size, supply chain tier, vertical integration, certifications, EU export share and perceived regulatory uncertainty." title="" id="26" name="Picture"/>
            <a:graphic>
              <a:graphicData uri="http://schemas.openxmlformats.org/drawingml/2006/picture">
                <pic:pic>
                  <pic:nvPicPr>
                    <pic:cNvPr descr="figure1_model.png" id="27" name="Picture"/>
                    <pic:cNvPicPr>
                      <a:picLocks noChangeArrowheads="1" noChangeAspect="1"/>
                    </pic:cNvPicPr>
                  </pic:nvPicPr>
                  <pic:blipFill>
                    <a:blip r:embed="rId25"/>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Research model. Controls: firm size, supply chain tier, vertical integration, certifications, EU export share and perceived regulatory uncertainty.</w:t>
      </w:r>
    </w:p>
    <w:bookmarkEnd w:id="28"/>
    <w:bookmarkEnd w:id="29"/>
    <w:bookmarkStart w:id="33" w:name="method"/>
    <w:p>
      <w:pPr>
        <w:pStyle w:val="Heading1"/>
      </w:pPr>
      <w:r>
        <w:t xml:space="preserve">Method</w:t>
      </w:r>
    </w:p>
    <w:bookmarkStart w:id="30" w:name="setting-sample-and-procedure"/>
    <w:p>
      <w:pPr>
        <w:pStyle w:val="Heading2"/>
      </w:pPr>
      <w:r>
        <w:t xml:space="preserve">Setting, Sample and Procedure</w:t>
      </w:r>
    </w:p>
    <w:p>
      <w:pPr>
        <w:pStyle w:val="FirstParagraph"/>
      </w:pPr>
      <w:r>
        <w:t xml:space="preserve">India’s textile and apparel exports were about US$37.5 billion in 2025, and the EU is their second-largest destination (Reuters, 2026). The population is Indian textile and apparel manufacturer-exporters with at least one EU buyer. The sampling frame combines the Apparel Export Promotion Council member directory with cluster association lists for Tiruppur, Bengaluru, the National Capital Region, Ludhiana and Kolkata, covering knitwear, woven garments, home textiles and fabric processing. Key informants are owners, directors, or heads of compliance, sustainability or merchandising with at least one year’s tenure who pass two competence screens (Online Appendix A).</w:t>
      </w:r>
    </w:p>
    <w:p>
      <w:pPr>
        <w:pStyle w:val="BodyText"/>
      </w:pPr>
      <w:r>
        <w:t xml:space="preserve">The survey was administered online and by telephone in English, Hindi and Tamil, with translation and back-translation. To reduce common-method variance (Podsakoff et al., 2003), we separated measurement in time. Wave 1 (February 2027) captured pressure, appropriation concern, the two capacities and controls. Wave 2 (March 2027) captured DPP readiness, circular capability and performance. Of [X] firms contacted, [Y] completed wave 1 and [N] completed both waves (response rate [Z]%). Early and late respondents did [not] differ on any study variable (Armstrong &amp; Overton, 1977), and respondents did [not] differ from non-respondents on directory size or region. Power analysis (f² = 0.15, α = 0.05, 1−β = 0.80, 10 predictors) required a minimum of 118 firms.</w:t>
      </w:r>
    </w:p>
    <w:bookmarkEnd w:id="30"/>
    <w:bookmarkStart w:id="31" w:name="measures"/>
    <w:p>
      <w:pPr>
        <w:pStyle w:val="Heading2"/>
      </w:pPr>
      <w:r>
        <w:t xml:space="preserve">Measures</w:t>
      </w:r>
    </w:p>
    <w:p>
      <w:pPr>
        <w:pStyle w:val="FirstParagraph"/>
      </w:pPr>
      <w:r>
        <w:t xml:space="preserve">All constructs use multi-item reflective scales on 7-point Likert scales (Online Appendix A). Buyer-transmitted pressure adapts institutional pressure items (Zhu &amp; Sarkis, 2007) to EU data demands. Multi-tier data sharing adapts information sharing (Fawcett et al., 2007) and multi-tier visibility measures (Kembro et al., 2017). Digital traceability capability adapts supply visibility items (Srinivasan &amp; Swink, 2018). Data-appropriation concern and DPP readiness are new scales. Their items were generated from the ESPR text, the European Parliamentary Research Service (2024) textile DPP study and Jensen et al.’s (2023) data clusters, refined in expert interviews, checked with a card-sorting task, and tested with exploratory factor analysis (EFA) on an independent pilot sample of [n] firms (Online Appendix A). Circular supply chain capability adapts circular economy practice items from the textile literature (Jia et al., 2020). EU export performance combines perceived performance relative to competitors with a reported change in EU export share. Controls are firm size (log employees), tier (finished goods versus intermediate), vertical integration, number of sustainability certifications, EU share of exports and perceived regulatory uncertainty.</w:t>
      </w:r>
    </w:p>
    <w:bookmarkEnd w:id="31"/>
    <w:bookmarkStart w:id="32" w:name="analysis"/>
    <w:p>
      <w:pPr>
        <w:pStyle w:val="Heading2"/>
      </w:pPr>
      <w:r>
        <w:t xml:space="preserve">Analysis</w:t>
      </w:r>
    </w:p>
    <w:p>
      <w:pPr>
        <w:pStyle w:val="FirstParagraph"/>
      </w:pPr>
      <w:r>
        <w:t xml:space="preserve">We use PLS-SEM because the model is prediction-oriented, includes interaction terms and new scales, and the sample is moderate (Hair et al., 2019). Following the two-step approach (Anderson &amp; Gerbing, 1988), we assess the measurement model before the structural model. In PLS-SEM this is done through confirmatory composite analysis (Hair et al., 2020): loadings, composite reliability, AVE and HTMT (Henseler et al., 2015). Because the method debate around PLS-SEM remains active (Rönkkö &amp; Evermann, 2013), we also estimate a covariance-based confirmatory factor analysis (CFA) of the full measurement model as a robustness check. Common-method variance is additionally checked with full-collinearity VIFs (Kock, 2015) and a marker variable. Interactions (H2, H4) use the two-stage approach. Significance uses 10,000 bootstrap samples. H5a versus H5b is decided by the sign, size and confidence interval of the DPP readiness → circular capability path, with buyer pressure included as a direct predictor of circular capability and an equivalence test to distinguish a true null from a non-significant effect. Out-of-sample predictive power is assessed with PLSpredict (Shmueli et al., 2019). Online Appendix B reports the full analysis plan and robustness checks.</w:t>
      </w:r>
    </w:p>
    <w:bookmarkEnd w:id="32"/>
    <w:bookmarkEnd w:id="33"/>
    <w:bookmarkStart w:id="36" w:name="results"/>
    <w:p>
      <w:pPr>
        <w:pStyle w:val="Heading1"/>
      </w:pPr>
      <w:r>
        <w:t xml:space="preserve">Results</w:t>
      </w:r>
    </w:p>
    <w:bookmarkStart w:id="34" w:name="measurement-model"/>
    <w:p>
      <w:pPr>
        <w:pStyle w:val="Heading2"/>
      </w:pPr>
      <w:r>
        <w:t xml:space="preserve">Measurement Model</w:t>
      </w:r>
    </w:p>
    <w:p>
      <w:pPr>
        <w:pStyle w:val="FirstParagraph"/>
      </w:pPr>
      <w:r>
        <w:t xml:space="preserve">In the pilot EFA, the new scales produced [three] factors that matched their intended constructs (KMO = [ ]; loadings ≥ [0.50]; no cross-loading above [0.30]). In the main sample, all indicator loadings exceeded [0.708], composite reliabilities ranged from [ ] to [ ], and every AVE exceeded [0.50] (Table 1). The covariance-based CFA fit the data acceptably (χ²/df = [ ], CFI = [ ], TLI = [ ], RMSEA = [ ], SRMR = [ ]). HTMT ratios were all below [0.85], with bootstrap confidence intervals excluding 1, supporting discriminant validity. Full-collinearity VIFs ranged from [ ] to [ ], below the 3.3 threshold, and controlling for the marker variable changed no path by more than [ ]. Common-method variance is therefore unlikely to account for the results.</w:t>
      </w:r>
    </w:p>
    <w:p>
      <w:pPr>
        <w:pStyle w:val="BodyText"/>
      </w:pPr>
      <w:r>
        <w:rPr>
          <w:bCs/>
          <w:b/>
        </w:rPr>
        <w:t xml:space="preserve">Table 1.</w:t>
      </w:r>
      <w:r>
        <w:t xml:space="preserve"> </w:t>
      </w:r>
      <w:r>
        <w:t xml:space="preserve">Measurement model: loadings, reliability, AVE and HTMT.</w:t>
      </w:r>
      <w:r>
        <w:t xml:space="preserve"> </w:t>
      </w:r>
      <w:r>
        <w:rPr>
          <w:iCs/>
          <w:i/>
        </w:rPr>
        <w:t xml:space="preserve">[Populated from the 2027 data.]</w:t>
      </w:r>
    </w:p>
    <w:bookmarkEnd w:id="34"/>
    <w:bookmarkStart w:id="35" w:name="structural-model"/>
    <w:p>
      <w:pPr>
        <w:pStyle w:val="Heading2"/>
      </w:pPr>
      <w:r>
        <w:t xml:space="preserve">Structural Model</w:t>
      </w:r>
    </w:p>
    <w:p>
      <w:pPr>
        <w:pStyle w:val="FirstParagraph"/>
      </w:pPr>
      <w:r>
        <w:t xml:space="preserve">Table 2 reports the hypothesis tests. The model explains [ ]% of the variance in DPP readiness, [ ]% in circular supply chain capability and [ ]% in EU export performance. Buyer-transmitted pressure was [positively] associated with digital traceability capability (H1a) and multi-tier data sharing (H1b). The effect on sharing was [weaker] when data-appropriation concern was high (H2): at one standard deviation above the mean, the simple slope was [ ], compared with [ ] at one standard deviation below. Both capacities predicted readiness (H3a, H3b), with [multi-tier sharing / digital traceability] having the larger effect size. Their interaction was [positive] (H4), so traceability systems added [little / substantially] to readiness when upstream sharing was low.</w:t>
      </w:r>
    </w:p>
    <w:p>
      <w:pPr>
        <w:pStyle w:val="BodyText"/>
      </w:pPr>
      <w:r>
        <w:t xml:space="preserve">For the competing hypotheses, the readiness → circular capability path was [ ] (95% CI [ , ]). The data therefore favour [H5a / H5b]. Readiness was [positively] associated with EU export performance (H6), and the result held when we used the objective change in EU export share. PLSpredict showed [lower] prediction errors than the linear benchmark for [ ] of [ ] readiness indicators, indicating [medium] predictive power. Results were robust to excluding yarn and fibre suppliers, to multi-group comparisons by firm size and cluster, and to a Gaussian copula test for endogeneity (Online Appendix B).</w:t>
      </w:r>
    </w:p>
    <w:p>
      <w:pPr>
        <w:pStyle w:val="BodyText"/>
      </w:pPr>
      <w:r>
        <w:rPr>
          <w:bCs/>
          <w:b/>
        </w:rPr>
        <w:t xml:space="preserve">Table 2.</w:t>
      </w:r>
      <w:r>
        <w:t xml:space="preserve"> </w:t>
      </w:r>
      <w:r>
        <w:t xml:space="preserve">Structural model results (95% bootstrap confidence intervals, 10,000 resamples).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Hypothesis</w:t>
            </w:r>
          </w:p>
        </w:tc>
        <w:tc>
          <w:tcPr/>
          <w:p>
            <w:pPr>
              <w:pStyle w:val="Compact"/>
              <w:jc w:val="left"/>
            </w:pPr>
            <w:r>
              <w:t xml:space="preserve">Path</w:t>
            </w:r>
          </w:p>
        </w:tc>
        <w:tc>
          <w:tcPr/>
          <w:p>
            <w:pPr>
              <w:pStyle w:val="Compact"/>
              <w:jc w:val="left"/>
            </w:pPr>
            <w:r>
              <w:t xml:space="preserve">β</w:t>
            </w:r>
          </w:p>
        </w:tc>
        <w:tc>
          <w:tcPr/>
          <w:p>
            <w:pPr>
              <w:pStyle w:val="Compact"/>
              <w:jc w:val="left"/>
            </w:pPr>
            <w:r>
              <w:t xml:space="preserve">95% CI</w:t>
            </w:r>
          </w:p>
        </w:tc>
        <w:tc>
          <w:tcPr/>
          <w:p>
            <w:pPr>
              <w:pStyle w:val="Compact"/>
              <w:jc w:val="left"/>
            </w:pPr>
            <w:r>
              <w:t xml:space="preserve">f²</w:t>
            </w:r>
          </w:p>
        </w:tc>
        <w:tc>
          <w:tcPr/>
          <w:p>
            <w:pPr>
              <w:pStyle w:val="Compact"/>
              <w:jc w:val="left"/>
            </w:pPr>
            <w:r>
              <w:t xml:space="preserve">Supported?</w:t>
            </w:r>
          </w:p>
        </w:tc>
      </w:tr>
      <w:tr>
        <w:tc>
          <w:tcPr/>
          <w:p>
            <w:pPr>
              <w:pStyle w:val="Compact"/>
              <w:jc w:val="left"/>
            </w:pPr>
            <w:r>
              <w:t xml:space="preserve">H1a</w:t>
            </w:r>
          </w:p>
        </w:tc>
        <w:tc>
          <w:tcPr/>
          <w:p>
            <w:pPr>
              <w:pStyle w:val="Compact"/>
              <w:jc w:val="left"/>
            </w:pPr>
            <w:r>
              <w:t xml:space="preserve">Pressure → 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H1b</w:t>
            </w:r>
          </w:p>
        </w:tc>
        <w:tc>
          <w:tcPr/>
          <w:p>
            <w:pPr>
              <w:pStyle w:val="Compact"/>
              <w:jc w:val="left"/>
            </w:pPr>
            <w:r>
              <w:t xml:space="preserve">Pressure → Multi-tier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H2</w:t>
            </w:r>
          </w:p>
        </w:tc>
        <w:tc>
          <w:tcPr/>
          <w:p>
            <w:pPr>
              <w:pStyle w:val="Compact"/>
              <w:jc w:val="left"/>
            </w:pPr>
            <w:r>
              <w:t xml:space="preserve">Pressure × Appropriation concern →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H3a</w:t>
            </w:r>
          </w:p>
        </w:tc>
        <w:tc>
          <w:tcPr/>
          <w:p>
            <w:pPr>
              <w:pStyle w:val="Compact"/>
              <w:jc w:val="left"/>
            </w:pPr>
            <w:r>
              <w:t xml:space="preserve">Digital traceability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H3b</w:t>
            </w:r>
          </w:p>
        </w:tc>
        <w:tc>
          <w:tcPr/>
          <w:p>
            <w:pPr>
              <w:pStyle w:val="Compact"/>
              <w:jc w:val="left"/>
            </w:pPr>
            <w:r>
              <w:t xml:space="preserve">Multi-tier sharing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H4</w:t>
            </w:r>
          </w:p>
        </w:tc>
        <w:tc>
          <w:tcPr/>
          <w:p>
            <w:pPr>
              <w:pStyle w:val="Compact"/>
              <w:jc w:val="left"/>
            </w:pPr>
            <w:r>
              <w:t xml:space="preserve">Traceability × Sharing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H5a/H5b</w:t>
            </w:r>
          </w:p>
        </w:tc>
        <w:tc>
          <w:tcPr/>
          <w:p>
            <w:pPr>
              <w:pStyle w:val="Compact"/>
              <w:jc w:val="left"/>
            </w:pPr>
            <w:r>
              <w:t xml:space="preserve">DPP readiness → Circular capability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H6</w:t>
            </w:r>
          </w:p>
        </w:tc>
        <w:tc>
          <w:tcPr/>
          <w:p>
            <w:pPr>
              <w:pStyle w:val="Compact"/>
              <w:jc w:val="left"/>
            </w:pPr>
            <w:r>
              <w:t xml:space="preserve">DPP readiness → EU export performance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5"/>
    <w:bookmarkEnd w:id="36"/>
    <w:bookmarkStart w:id="41" w:name="discussion"/>
    <w:p>
      <w:pPr>
        <w:pStyle w:val="Heading1"/>
      </w:pPr>
      <w:r>
        <w:t xml:space="preserve">Discussion</w:t>
      </w:r>
    </w:p>
    <w:bookmarkStart w:id="37" w:name="theoretical-implications"/>
    <w:p>
      <w:pPr>
        <w:pStyle w:val="Heading2"/>
      </w:pPr>
      <w:r>
        <w:t xml:space="preserve">Theoretical Implications</w:t>
      </w:r>
    </w:p>
    <w:p>
      <w:pPr>
        <w:pStyle w:val="FirstParagraph"/>
      </w:pPr>
      <w:r>
        <w:t xml:space="preserve">First, the study moves OIPT from fit</w:t>
      </w:r>
      <w:r>
        <w:t xml:space="preserve"> </w:t>
      </w:r>
      <w:r>
        <w:rPr>
          <w:iCs/>
          <w:i/>
        </w:rPr>
        <w:t xml:space="preserve">inside</w:t>
      </w:r>
      <w:r>
        <w:t xml:space="preserve"> </w:t>
      </w:r>
      <w:r>
        <w:t xml:space="preserve">a firm or dyad to fit</w:t>
      </w:r>
      <w:r>
        <w:t xml:space="preserve"> </w:t>
      </w:r>
      <w:r>
        <w:rPr>
          <w:iCs/>
          <w:i/>
        </w:rPr>
        <w:t xml:space="preserve">imposed from outside</w:t>
      </w:r>
      <w:r>
        <w:t xml:space="preserve"> </w:t>
      </w:r>
      <w:r>
        <w:t xml:space="preserve">by regulation and transmitted through buyers. In this setting the firm does not choose its requirements; it chooses only whether to build capacity, and through which channel. Second, data-appropriation concern adds a relational condition that OIPT has largely left implicit: lateral capacity requires a willingness to give data away, and that willingness depends on how the receiver might use the data (Fawcett et al., 2007; Gualandris et al., 2021). Third, the H5a/H5b test speaks to the supply chain transparency literature (Montecchi et al., 2021; Sodhi &amp; Tang, 2019). If readiness is decoupled from circular capability, the passport risks becoming traceability without circularity: compliance data that sit in a registry while material still flows to landfill. Fourth, the findings clarify a trade-off central to supply chain design. Building passport capacity consumes scarce managerial attention and capital that small exporters would otherwise spend on cost, speed and quality, which are the operational foundations of their competitiveness. If readiness pays off through EU export performance, sustainability and operational excellence reinforce each other. If it does not, the passport imposes a compliance cost that the weakest suppliers can least afford.</w:t>
      </w:r>
    </w:p>
    <w:bookmarkEnd w:id="37"/>
    <w:bookmarkStart w:id="38"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 passport is a supply chain design decision, not a software purchase.</w:t>
      </w:r>
      <w:r>
        <w:t xml:space="preserve"> </w:t>
      </w:r>
      <w:r>
        <w:t xml:space="preserve">Readiness depends on [upstream data sharing at least as much as on systems]. Map which tier holds each passport data field before buying a platform.</w:t>
      </w:r>
    </w:p>
    <w:p>
      <w:pPr>
        <w:numPr>
          <w:ilvl w:val="0"/>
          <w:numId w:val="1001"/>
        </w:numPr>
        <w:pStyle w:val="Compact"/>
      </w:pPr>
      <w:r>
        <w:rPr>
          <w:bCs/>
          <w:b/>
        </w:rPr>
        <w:t xml:space="preserve">Fix trust before technology.</w:t>
      </w:r>
      <w:r>
        <w:t xml:space="preserve"> </w:t>
      </w:r>
      <w:r>
        <w:t xml:space="preserve">Where suppliers fear their data will be used against them, buyer pressure produces [less] sharing. Brands that limit how they use supplier data, share verification costs or pay for verified data will get better passports.</w:t>
      </w:r>
    </w:p>
    <w:p>
      <w:pPr>
        <w:numPr>
          <w:ilvl w:val="0"/>
          <w:numId w:val="1001"/>
        </w:numPr>
        <w:pStyle w:val="Compact"/>
      </w:pPr>
      <w:r>
        <w:rPr>
          <w:bCs/>
          <w:b/>
        </w:rPr>
        <w:t xml:space="preserve">Use the data, not just file it.</w:t>
      </w:r>
      <w:r>
        <w:t xml:space="preserve"> </w:t>
      </w:r>
      <w:r>
        <w:t xml:space="preserve">Readiness pays off in circular capability [only when] firms use passport data for their own decisions on waste, recycled inputs and unsold stock.</w:t>
      </w:r>
    </w:p>
    <w:p>
      <w:pPr>
        <w:numPr>
          <w:ilvl w:val="0"/>
          <w:numId w:val="1001"/>
        </w:numPr>
        <w:pStyle w:val="Compact"/>
      </w:pPr>
      <w:r>
        <w:rPr>
          <w:bCs/>
          <w:b/>
        </w:rPr>
        <w:t xml:space="preserve">Start now.</w:t>
      </w:r>
      <w:r>
        <w:t xml:space="preserve"> </w:t>
      </w:r>
      <w:r>
        <w:t xml:space="preserve">The data fields will be fixed in 2027, but the capacity to fill them takes years to build across tiers.</w:t>
      </w:r>
    </w:p>
    <w:p>
      <w:pPr>
        <w:pStyle w:val="FirstParagraph"/>
      </w:pPr>
      <w:r>
        <w:t xml:space="preserve">For</w:t>
      </w:r>
      <w:r>
        <w:t xml:space="preserve"> </w:t>
      </w:r>
      <w:r>
        <w:rPr>
          <w:bCs/>
          <w:b/>
        </w:rPr>
        <w:t xml:space="preserve">suppliers</w:t>
      </w:r>
      <w:r>
        <w:t xml:space="preserve">, the analysis shows whether investing in systems, in upstream relationships, or in both yields readiness. For</w:t>
      </w:r>
      <w:r>
        <w:t xml:space="preserve"> </w:t>
      </w:r>
      <w:r>
        <w:rPr>
          <w:bCs/>
          <w:b/>
        </w:rPr>
        <w:t xml:space="preserve">brands</w:t>
      </w:r>
      <w:r>
        <w:t xml:space="preserve">, the appropriation-concern results matter for how data requests are designed. For both, the readiness scale (Online Appendix A) can serve as a self-diagnostic before the delegated act fixes the data fields.</w:t>
      </w:r>
    </w:p>
    <w:bookmarkEnd w:id="38"/>
    <w:bookmarkStart w:id="39" w:name="policy-implications"/>
    <w:p>
      <w:pPr>
        <w:pStyle w:val="Heading2"/>
      </w:pPr>
      <w:r>
        <w:t xml:space="preserve">Policy Implications</w:t>
      </w:r>
    </w:p>
    <w:p>
      <w:pPr>
        <w:pStyle w:val="FirstParagraph"/>
      </w:pPr>
      <w:r>
        <w:t xml:space="preserve">The passport shifts information-processing costs upstream, to the actors least able to bear them. If readiness depends on multi-tier sharing that small sub-suppliers cannot provide, the passport could unintentionally concentrate EU sourcing among large, vertically integrated exporters. Two levers follow. First, shared data infrastructure, such as cluster-level traceability platforms in Tiruppur or Ludhiana run by industry associations, lowers the fixed cost of vertical capacity. Second, enforceable data-use safeguards, built into the passport’s access rights or into the EU–India agreement’s sustainability chapter, lower appropriation concern.</w:t>
      </w:r>
    </w:p>
    <w:bookmarkEnd w:id="39"/>
    <w:bookmarkStart w:id="40" w:name="limitations-and-future-research"/>
    <w:p>
      <w:pPr>
        <w:pStyle w:val="Heading2"/>
      </w:pPr>
      <w:r>
        <w:t xml:space="preserve">Limitations and Future Research</w:t>
      </w:r>
    </w:p>
    <w:p>
      <w:pPr>
        <w:pStyle w:val="FirstParagraph"/>
      </w:pPr>
      <w:r>
        <w:t xml:space="preserve">The design is cross-sectional across two waves and relies on single key informants, so causal claims are limited. Readiness is self-assessed before the delegated act fixes the data fields. Once the passport is mandatory, follow-up studies should link readiness to audited passport data, test generalisation to Bangladesh, Vietnam and Türkiye, and use buyer–supplier dyads to capture both sides of appropriation concern.</w:t>
      </w:r>
    </w:p>
    <w:bookmarkEnd w:id="40"/>
    <w:bookmarkEnd w:id="41"/>
    <w:bookmarkStart w:id="42" w:name="conclusion"/>
    <w:p>
      <w:pPr>
        <w:pStyle w:val="Heading1"/>
      </w:pPr>
      <w:r>
        <w:t xml:space="preserve">Conclusion</w:t>
      </w:r>
    </w:p>
    <w:p>
      <w:pPr>
        <w:pStyle w:val="FirstParagraph"/>
      </w:pPr>
      <w:r>
        <w:t xml:space="preserve">The Digital Product Passport is a supply chain design decision disguised as a compliance requirement. Whether it becomes a tool for circularity or a new barrier to trade will be decided in the next eighteen months, in supplier factories far from Brussels. Our study shows [one-sentence headline finding] and points to where firms and governments should invest first.</w:t>
      </w:r>
    </w:p>
    <w:bookmarkEnd w:id="42"/>
    <w:bookmarkStart w:id="43"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Anderson, J. C., &amp; Gerbing, D. W. (1988). Structural equation modeling in practice: A review and recommended two-step approach.</w:t>
      </w:r>
      <w:r>
        <w:t xml:space="preserve"> </w:t>
      </w:r>
      <w:r>
        <w:rPr>
          <w:iCs/>
          <w:i/>
        </w:rPr>
        <w:t xml:space="preserve">Psychological Bulletin, 103</w:t>
      </w:r>
      <w:r>
        <w:t xml:space="preserve">(3), 411–423.</w:t>
      </w:r>
    </w:p>
    <w:p>
      <w:pPr>
        <w:pStyle w:val="BodyText"/>
      </w:pPr>
      <w:r>
        <w:t xml:space="preserve">Armstrong, J. S., &amp; Overton, T. S. (1977). Estimating nonresponse bias in mail surveys.</w:t>
      </w:r>
      <w:r>
        <w:t xml:space="preserve"> </w:t>
      </w:r>
      <w:r>
        <w:rPr>
          <w:iCs/>
          <w:i/>
        </w:rPr>
        <w:t xml:space="preserve">Journal of Marketing Research, 14</w:t>
      </w:r>
      <w:r>
        <w:t xml:space="preserve">(3), 396–402.</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Hair, J. F., Risher, J. J., Sarstedt, M., &amp; Ringle, C. M. (2019). When to use and how to report the results of PLS-SEM.</w:t>
      </w:r>
      <w:r>
        <w:t xml:space="preserve"> </w:t>
      </w:r>
      <w:r>
        <w:rPr>
          <w:iCs/>
          <w:i/>
        </w:rPr>
        <w:t xml:space="preserve">European Business Review, 31</w:t>
      </w:r>
      <w:r>
        <w:t xml:space="preserve">(1), 2–24.</w:t>
      </w:r>
    </w:p>
    <w:p>
      <w:pPr>
        <w:pStyle w:val="BodyText"/>
      </w:pPr>
      <w:r>
        <w:t xml:space="preserve">Hair, J. F., Howard, M. C., &amp; Nitzl, C. (2020). Assessing measurement model quality in PLS-SEM using confirmatory composite analysis.</w:t>
      </w:r>
      <w:r>
        <w:t xml:space="preserve"> </w:t>
      </w:r>
      <w:r>
        <w:rPr>
          <w:iCs/>
          <w:i/>
        </w:rPr>
        <w:t xml:space="preserve">Journal of Business Research, 109</w:t>
      </w:r>
      <w:r>
        <w:t xml:space="preserve">, 101–110.</w:t>
      </w:r>
    </w:p>
    <w:p>
      <w:pPr>
        <w:pStyle w:val="BodyText"/>
      </w:pPr>
      <w:r>
        <w:t xml:space="preserve">Henseler, J., Ringle, C. M., &amp; Sarstedt, M. (2015). A new criterion for assessing discriminant validity in variance-based structural equation modeling.</w:t>
      </w:r>
      <w:r>
        <w:t xml:space="preserve"> </w:t>
      </w:r>
      <w:r>
        <w:rPr>
          <w:iCs/>
          <w:i/>
        </w:rPr>
        <w:t xml:space="preserve">Journal of the Academy of Marketing Science, 43</w:t>
      </w:r>
      <w:r>
        <w:t xml:space="preserve">(1), 115–135.</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Jia, F., Yin, S., Chen, L., &amp; Chen, X. (2020). The circular economy in the textile and apparel industry: A systematic literature review.</w:t>
      </w:r>
      <w:r>
        <w:t xml:space="preserve"> </w:t>
      </w:r>
      <w:r>
        <w:rPr>
          <w:iCs/>
          <w:i/>
        </w:rPr>
        <w:t xml:space="preserve">Journal of Cleaner Production, 259</w:t>
      </w:r>
      <w:r>
        <w:t xml:space="preserve">, 120728.</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Kock, N. (2015). Common method bias in PLS-SEM: A full collinearity assessment approach.</w:t>
      </w:r>
      <w:r>
        <w:t xml:space="preserve"> </w:t>
      </w:r>
      <w:r>
        <w:rPr>
          <w:iCs/>
          <w:i/>
        </w:rPr>
        <w:t xml:space="preserve">International Journal of e-Collaboration, 11</w:t>
      </w:r>
      <w:r>
        <w:t xml:space="preserve">(4), 1–10.</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Rönkkö, M., &amp; Evermann, J. (2013). A critical examination of common beliefs about partial least squares path modeling.</w:t>
      </w:r>
      <w:r>
        <w:t xml:space="preserve"> </w:t>
      </w:r>
      <w:r>
        <w:rPr>
          <w:iCs/>
          <w:i/>
        </w:rPr>
        <w:t xml:space="preserve">Organizational Research Methods, 16</w:t>
      </w:r>
      <w:r>
        <w:t xml:space="preserve">(3), 425–448.</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Shmueli, G., Sarstedt, M., Hair, J. F., Cheah, J.-H., Ting, H., Vaithilingam, S., &amp; Ringle, C. M. (2019). Predictive model assessment in PLS-SEM: Guidelines for using PLSpredict.</w:t>
      </w:r>
      <w:r>
        <w:t xml:space="preserve"> </w:t>
      </w:r>
      <w:r>
        <w:rPr>
          <w:iCs/>
          <w:i/>
        </w:rPr>
        <w:t xml:space="preserve">European Journal of Marketing, 53</w:t>
      </w:r>
      <w:r>
        <w:t xml:space="preserve">(11), 2322–2347.</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Supplier Information-Processing Capacity, Digital Product Passport Readiness, and Circular Supply Chains in Indian Apparel Exports</dc:title>
  <dc:creator/>
  <cp:keywords/>
  <dcterms:created xsi:type="dcterms:W3CDTF">2026-10-25T19:07:08Z</dcterms:created>
  <dcterms:modified xsi:type="dcterms:W3CDTF">2026-10-25T19:07:08Z</dcterms:modified>
</cp:coreProperties>
</file>

<file path=docProps/custom.xml><?xml version="1.0" encoding="utf-8"?>
<Properties xmlns="http://schemas.openxmlformats.org/officeDocument/2006/custom-properties" xmlns:vt="http://schemas.openxmlformats.org/officeDocument/2006/docPropsVTypes"/>
</file>