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测试用例-查看货物运输轨迹用例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rFonts w:hint="eastAsia"/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查看货物运输轨迹用例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实现查看货物运输轨迹.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853815" cy="4073525"/>
            <wp:effectExtent l="0" t="0" r="1333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          </w:t>
      </w:r>
    </w:p>
    <w:p>
      <w:pPr>
        <w:pStyle w:val="10"/>
        <w:ind w:firstLine="3413" w:firstLineChars="17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图一 主界面</w:t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703320" cy="3350895"/>
            <wp:effectExtent l="0" t="0" r="1143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2610" w:firstLineChars="13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图二 查看运单列表信息</w:t>
      </w:r>
    </w:p>
    <w:p>
      <w:pPr>
        <w:pStyle w:val="10"/>
        <w:jc w:val="both"/>
        <w:rPr>
          <w:rFonts w:hint="eastAsia"/>
          <w:lang w:val="en-US" w:eastAsia="zh-CN"/>
        </w:rPr>
      </w:pPr>
    </w:p>
    <w:p>
      <w:pPr>
        <w:pStyle w:val="10"/>
        <w:jc w:val="center"/>
        <w:rPr>
          <w:rFonts w:hint="eastAsia"/>
          <w:b/>
          <w:lang w:val="en-US" w:eastAsia="zh-CN"/>
        </w:rPr>
      </w:pPr>
    </w:p>
    <w:p>
      <w:pPr>
        <w:pStyle w:val="10"/>
        <w:jc w:val="center"/>
        <w:rPr>
          <w:rFonts w:hint="eastAsia"/>
          <w:b/>
          <w:lang w:val="en-US" w:eastAsia="zh-CN"/>
        </w:rPr>
      </w:pPr>
      <w:bookmarkStart w:id="2" w:name="_GoBack"/>
      <w:bookmarkEnd w:id="2"/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b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一．查看货物运输轨迹</w:t>
      </w: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  <w:rPr>
          <w:b/>
          <w:lang w:val="en-US" w:eastAsia="zh-CN"/>
        </w:rPr>
      </w:pP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</w:pPr>
      <w:r>
        <w:rPr>
          <w:rFonts w:hint="eastAsia"/>
          <w:lang w:val="en-US" w:eastAsia="zh-CN"/>
        </w:rPr>
        <w:t xml:space="preserve">                  </w:t>
      </w:r>
      <w:bookmarkEnd w:id="0"/>
      <w:bookmarkEnd w:id="1"/>
      <w:r>
        <w:drawing>
          <wp:inline distT="0" distB="0" distL="114300" distR="114300">
            <wp:extent cx="4294505" cy="2597150"/>
            <wp:effectExtent l="0" t="0" r="1079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图三 </w:t>
      </w:r>
      <w:r>
        <w:rPr>
          <w:rFonts w:hint="eastAsia" w:cs="宋体"/>
          <w:b/>
          <w:bCs w:val="0"/>
          <w:lang w:val="en-US" w:eastAsia="zh-CN"/>
        </w:rPr>
        <w:t>查看货物运输轨迹</w:t>
      </w:r>
      <w:r>
        <w:rPr>
          <w:rFonts w:hint="eastAsia"/>
          <w:b/>
          <w:lang w:val="en-US" w:eastAsia="zh-CN" w:bidi="en-US"/>
        </w:rPr>
        <w:t>界面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0"/>
        <w:numPr>
          <w:ilvl w:val="0"/>
          <w:numId w:val="0"/>
        </w:numPr>
        <w:ind w:left="840" w:leftChars="0"/>
        <w:jc w:val="both"/>
        <w:rPr>
          <w:b/>
          <w:lang w:val="en-US" w:eastAsia="zh-CN"/>
        </w:rPr>
      </w:pPr>
    </w:p>
    <w:p>
      <w:pPr>
        <w:pStyle w:val="10"/>
        <w:numPr>
          <w:ilvl w:val="0"/>
          <w:numId w:val="2"/>
        </w:numPr>
        <w:tabs>
          <w:tab w:val="left" w:pos="1588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点击图一所示的“订单”按钮，会在按钮上方弹出相关的链接，点击“查看订单列表”则会跳转到如图二所示的页面。</w:t>
      </w:r>
    </w:p>
    <w:p>
      <w:pPr>
        <w:pStyle w:val="10"/>
        <w:numPr>
          <w:ilvl w:val="0"/>
          <w:numId w:val="2"/>
        </w:numPr>
        <w:tabs>
          <w:tab w:val="left" w:pos="1588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点击“查看物流”按钮，则会显示对应货物的实时位置或者运输轨迹，点击图三下拉框中的运输轨迹则会显示如图三所示的页面。</w:t>
      </w:r>
    </w:p>
    <w:p>
      <w:pPr>
        <w:pStyle w:val="10"/>
        <w:numPr>
          <w:ilvl w:val="0"/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0"/>
        <w:numPr>
          <w:ilvl w:val="0"/>
          <w:numId w:val="3"/>
        </w:numPr>
        <w:ind w:left="126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查询结果列包含：货物名称、 路线名称、货物途径的地方。</w:t>
      </w:r>
    </w:p>
    <w:p>
      <w:pPr>
        <w:pStyle w:val="10"/>
        <w:numPr>
          <w:ilvl w:val="0"/>
          <w:numId w:val="3"/>
        </w:numPr>
        <w:ind w:left="126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查询结果在地图中以曲线形式显示。</w:t>
      </w:r>
    </w:p>
    <w:p>
      <w:pPr>
        <w:pStyle w:val="10"/>
        <w:ind w:left="1352"/>
        <w:rPr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二．日志数据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 w:cs="宋体"/>
          <w:b/>
          <w:bCs w:val="0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日志用于记录用户的操作记录，将用户的操作记录存储于数据库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。</w:t>
      </w: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eastAsia="zh-CN"/>
        </w:rPr>
      </w:pPr>
      <w:r>
        <w:t>Acceptance Criteria</w:t>
      </w:r>
    </w:p>
    <w:p/>
    <w:p/>
    <w:p/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4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5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61FB"/>
    <w:multiLevelType w:val="singleLevel"/>
    <w:tmpl w:val="0C7B61F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1A7191"/>
    <w:multiLevelType w:val="singleLevel"/>
    <w:tmpl w:val="2C1A719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7F0B"/>
    <w:rsid w:val="03791136"/>
    <w:rsid w:val="03FE4F8B"/>
    <w:rsid w:val="0731351D"/>
    <w:rsid w:val="0A300203"/>
    <w:rsid w:val="0D82053E"/>
    <w:rsid w:val="0EF33DCD"/>
    <w:rsid w:val="188164EA"/>
    <w:rsid w:val="234C0DB3"/>
    <w:rsid w:val="27421AE8"/>
    <w:rsid w:val="28CD7567"/>
    <w:rsid w:val="2A0E6D87"/>
    <w:rsid w:val="2BC25993"/>
    <w:rsid w:val="30976ADC"/>
    <w:rsid w:val="332E3725"/>
    <w:rsid w:val="35EB1703"/>
    <w:rsid w:val="37A367D0"/>
    <w:rsid w:val="38321952"/>
    <w:rsid w:val="39E47373"/>
    <w:rsid w:val="3D9D7139"/>
    <w:rsid w:val="3FD22B9F"/>
    <w:rsid w:val="400E02D0"/>
    <w:rsid w:val="44C62D74"/>
    <w:rsid w:val="4DE81E71"/>
    <w:rsid w:val="52203935"/>
    <w:rsid w:val="563376C1"/>
    <w:rsid w:val="58C95073"/>
    <w:rsid w:val="5D1D625A"/>
    <w:rsid w:val="634B1F8E"/>
    <w:rsid w:val="67EA63B0"/>
    <w:rsid w:val="6AB749AD"/>
    <w:rsid w:val="70F65795"/>
    <w:rsid w:val="7343416F"/>
    <w:rsid w:val="73D26791"/>
    <w:rsid w:val="762C3995"/>
    <w:rsid w:val="78FD6336"/>
    <w:rsid w:val="7D430A88"/>
    <w:rsid w:val="7F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paragraph" w:customStyle="1" w:styleId="11">
    <w:name w:val="msolistparagraph"/>
    <w:basedOn w:val="1"/>
    <w:qFormat/>
    <w:uiPriority w:val="0"/>
    <w:pPr>
      <w:keepNext w:val="0"/>
      <w:keepLines w:val="0"/>
      <w:widowControl/>
      <w:suppressLineNumbers w:val="0"/>
      <w:spacing w:before="200" w:beforeAutospacing="0" w:after="200" w:afterAutospacing="0" w:line="276" w:lineRule="auto"/>
      <w:ind w:left="720" w:right="0"/>
      <w:contextualSpacing/>
      <w:jc w:val="left"/>
    </w:pPr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paragraph" w:styleId="12">
    <w:name w:val="No Spacing"/>
    <w:basedOn w:val="1"/>
    <w:qFormat/>
    <w:uiPriority w:val="1"/>
    <w:pPr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2019-05-13T05:48:40Z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