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测试用例-帮助用例</w:t>
      </w:r>
    </w:p>
    <w:p>
      <w:pPr>
        <w:spacing w:before="0" w:after="0" w:line="240" w:lineRule="auto"/>
        <w:jc w:val="right"/>
        <w:rPr>
          <w:rFonts w:hint="eastAsia" w:eastAsia="宋体"/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Created by: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帮助用例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实现帮助用例.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pStyle w:val="10"/>
        <w:ind w:left="0"/>
        <w:rPr>
          <w:rFonts w:cs="宋体"/>
          <w:b/>
        </w:rPr>
      </w:pPr>
    </w:p>
    <w:p>
      <w:pPr>
        <w:pStyle w:val="11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780790" cy="23431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 w:cs="宋体"/>
          <w:b/>
          <w:lang w:val="en-US" w:eastAsia="zh-CN"/>
        </w:rPr>
        <w:t>登录界面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drawing>
          <wp:inline distT="0" distB="0" distL="114300" distR="114300">
            <wp:extent cx="4186555" cy="350520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图二 </w:t>
      </w:r>
      <w:r>
        <w:rPr>
          <w:rFonts w:hint="eastAsia" w:cs="宋体"/>
          <w:b/>
          <w:lang w:val="en-US" w:eastAsia="zh-CN"/>
        </w:rPr>
        <w:t>个人中心界面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1"/>
        <w:ind w:left="992"/>
        <w:rPr>
          <w:lang w:val="en-US" w:eastAsia="zh-CN"/>
        </w:rPr>
      </w:pPr>
    </w:p>
    <w:p>
      <w:pPr>
        <w:pStyle w:val="10"/>
        <w:ind w:left="0"/>
        <w:rPr>
          <w:rFonts w:hint="eastAsia" w:eastAsia="宋体"/>
          <w:b/>
          <w:lang w:eastAsia="zh-CN"/>
        </w:rPr>
      </w:pPr>
      <w:r>
        <w:rPr>
          <w:rFonts w:hint="eastAsia" w:cs="宋体"/>
          <w:b/>
        </w:rPr>
        <w:t>一．</w:t>
      </w:r>
      <w:r>
        <w:rPr>
          <w:rFonts w:hint="eastAsia" w:cs="宋体"/>
          <w:b/>
          <w:lang w:eastAsia="zh-CN"/>
        </w:rPr>
        <w:t>帮助</w:t>
      </w:r>
    </w:p>
    <w:p>
      <w:pPr>
        <w:pStyle w:val="11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1） 界面详见</w:t>
      </w:r>
      <w:r>
        <w:rPr>
          <w:b/>
          <w:lang w:val="en-US" w:eastAsia="zh-CN"/>
        </w:rPr>
        <w:t>mockup</w:t>
      </w:r>
    </w:p>
    <w:p>
      <w:pPr>
        <w:pStyle w:val="11"/>
        <w:ind w:left="0"/>
        <w:jc w:val="both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3893820" cy="3405505"/>
            <wp:effectExtent l="0" t="0" r="1143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图三 </w:t>
      </w:r>
      <w:r>
        <w:rPr>
          <w:rFonts w:hint="eastAsia" w:cs="宋体"/>
          <w:b/>
          <w:lang w:val="en-US" w:eastAsia="zh-CN"/>
        </w:rPr>
        <w:t>帮助界面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1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1"/>
        <w:ind w:left="800" w:leftChars="400" w:firstLine="200" w:firstLineChars="100"/>
        <w:rPr>
          <w:lang w:val="en-US" w:eastAsia="zh-CN"/>
        </w:rPr>
      </w:pPr>
      <w:r>
        <w:rPr>
          <w:rFonts w:hint="eastAsia"/>
          <w:lang w:val="en-US" w:eastAsia="zh-CN"/>
        </w:rPr>
        <w:t>点击图二左上方的下拉菜单，选择帮助，进入如图三所示的帮助界面，货主可以查看与该App相关的内容。</w:t>
      </w:r>
      <w:bookmarkStart w:id="0" w:name="_GoBack"/>
      <w:bookmarkEnd w:id="0"/>
    </w:p>
    <w:p>
      <w:pPr>
        <w:pStyle w:val="11"/>
        <w:ind w:left="0"/>
        <w:rPr>
          <w:lang w:val="en-US" w:eastAsia="zh-CN"/>
        </w:rPr>
      </w:pPr>
    </w:p>
    <w:p>
      <w:pPr>
        <w:pStyle w:val="11"/>
        <w:ind w:left="0"/>
        <w:rPr>
          <w:lang w:val="en-US" w:eastAsia="zh-CN"/>
        </w:rPr>
      </w:pPr>
    </w:p>
    <w:p>
      <w:pPr>
        <w:pStyle w:val="11"/>
        <w:ind w:left="0"/>
        <w:rPr>
          <w:lang w:val="en-US" w:eastAsia="zh-CN"/>
        </w:rPr>
      </w:pPr>
    </w:p>
    <w:p>
      <w:pPr>
        <w:pStyle w:val="10"/>
        <w:ind w:left="0"/>
        <w:rPr>
          <w:rFonts w:cs="宋体"/>
          <w:b/>
        </w:rPr>
      </w:pPr>
      <w:r>
        <w:rPr>
          <w:rFonts w:hint="eastAsia" w:cs="宋体"/>
          <w:b/>
        </w:rPr>
        <w:t>二．日志数据</w:t>
      </w:r>
    </w:p>
    <w:p>
      <w:pPr>
        <w:rPr>
          <w:lang w:eastAsia="zh-CN"/>
        </w:rPr>
      </w:pPr>
      <w:r>
        <w:rPr>
          <w:rFonts w:hint="eastAsia" w:cs="宋体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hint="eastAsia" w:ascii="宋体" w:hAnsi="宋体" w:cs="宋体"/>
          <w:lang w:val="en-US" w:eastAsia="zh-CN"/>
        </w:rPr>
        <w:t>。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4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3" name="直接箭头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ZqPFnYAAAA&#10;CQEAAA8AAAAAAAAAAQAgAAAAIgAAAGRycy9kb3ducmV2LnhtbFBLAQIUABQAAAAIAIdO4kA7bK/J&#10;5AEAAH8DAAAOAAAAAAAAAAEAIAAAACcBAABkcnMvZTJvRG9jLnhtbFBLBQYAAAAABgAGAFkBAAB9&#10;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3869"/>
    <w:multiLevelType w:val="multilevel"/>
    <w:tmpl w:val="76C83869"/>
    <w:lvl w:ilvl="0" w:tentative="0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F431E"/>
    <w:rsid w:val="13B33663"/>
    <w:rsid w:val="44E35A95"/>
    <w:rsid w:val="50515CE5"/>
    <w:rsid w:val="571D4CDA"/>
    <w:rsid w:val="5917661D"/>
    <w:rsid w:val="59D4651D"/>
    <w:rsid w:val="724C465B"/>
    <w:rsid w:val="7521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msolistparagraph"/>
    <w:basedOn w:val="1"/>
    <w:qFormat/>
    <w:uiPriority w:val="0"/>
    <w:pPr>
      <w:ind w:left="720"/>
      <w:contextualSpacing/>
    </w:pPr>
    <w:rPr>
      <w:lang w:val="en-US" w:eastAsia="zh-CN"/>
    </w:r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2019-05-13T08:03:18Z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